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b/>
          <w:color w:val="0C0C0C" w:themeColor="text1" w:themeTint="F2"/>
          <w:sz w:val="28"/>
          <w:szCs w:val="28"/>
        </w:rPr>
      </w:pPr>
      <w:bookmarkStart w:id="0" w:name="_GoBack"/>
      <w:bookmarkEnd w:id="0"/>
      <w:r>
        <w:rPr>
          <w:rFonts w:ascii="宋体" w:hAnsi="宋体" w:eastAsia="宋体"/>
          <w:b/>
          <w:color w:val="0C0C0C" w:themeColor="text1" w:themeTint="F2"/>
          <w:sz w:val="28"/>
          <w:szCs w:val="28"/>
        </w:rPr>
        <w:t>附件 2</w:t>
      </w:r>
    </w:p>
    <w:p>
      <w:pPr>
        <w:spacing w:line="480" w:lineRule="exact"/>
        <w:rPr>
          <w:rFonts w:ascii="宋体" w:hAnsi="宋体" w:eastAsia="宋体"/>
          <w:color w:val="0C0C0C" w:themeColor="text1" w:themeTint="F2"/>
          <w:sz w:val="24"/>
          <w:szCs w:val="24"/>
        </w:rPr>
      </w:pPr>
    </w:p>
    <w:p>
      <w:pPr>
        <w:spacing w:line="480" w:lineRule="exact"/>
        <w:rPr>
          <w:rFonts w:ascii="宋体" w:hAnsi="宋体" w:eastAsia="宋体"/>
          <w:color w:val="0C0C0C" w:themeColor="text1" w:themeTint="F2"/>
          <w:sz w:val="24"/>
          <w:szCs w:val="24"/>
        </w:rPr>
      </w:pPr>
    </w:p>
    <w:p>
      <w:pPr>
        <w:spacing w:line="480" w:lineRule="exact"/>
        <w:rPr>
          <w:rFonts w:ascii="宋体" w:hAnsi="宋体" w:eastAsia="宋体"/>
          <w:color w:val="0C0C0C" w:themeColor="text1" w:themeTint="F2"/>
          <w:sz w:val="24"/>
          <w:szCs w:val="24"/>
        </w:rPr>
      </w:pPr>
    </w:p>
    <w:p>
      <w:pPr>
        <w:spacing w:line="480" w:lineRule="exact"/>
        <w:rPr>
          <w:rFonts w:ascii="宋体" w:hAnsi="宋体" w:eastAsia="宋体"/>
          <w:color w:val="0C0C0C" w:themeColor="text1" w:themeTint="F2"/>
          <w:sz w:val="24"/>
          <w:szCs w:val="24"/>
        </w:rPr>
      </w:pPr>
    </w:p>
    <w:p>
      <w:pPr>
        <w:spacing w:line="480" w:lineRule="exact"/>
        <w:jc w:val="center"/>
        <w:rPr>
          <w:rFonts w:ascii="宋体" w:hAnsi="宋体" w:eastAsia="宋体"/>
          <w:b/>
          <w:color w:val="0C0C0C" w:themeColor="text1" w:themeTint="F2"/>
          <w:sz w:val="36"/>
          <w:szCs w:val="36"/>
        </w:rPr>
      </w:pPr>
      <w:r>
        <w:rPr>
          <w:rFonts w:hint="eastAsia" w:ascii="宋体" w:hAnsi="宋体" w:eastAsia="宋体"/>
          <w:b/>
          <w:color w:val="0C0C0C" w:themeColor="text1" w:themeTint="F2"/>
          <w:sz w:val="36"/>
          <w:szCs w:val="36"/>
        </w:rPr>
        <w:t>2019年全国旅游院校导游教学骨干师资培训班</w:t>
      </w:r>
    </w:p>
    <w:p>
      <w:pPr>
        <w:spacing w:line="480" w:lineRule="exact"/>
        <w:jc w:val="center"/>
        <w:rPr>
          <w:rFonts w:ascii="宋体" w:hAnsi="宋体" w:eastAsia="宋体"/>
          <w:b/>
          <w:color w:val="0C0C0C" w:themeColor="text1" w:themeTint="F2"/>
          <w:sz w:val="36"/>
          <w:szCs w:val="36"/>
        </w:rPr>
      </w:pPr>
      <w:r>
        <w:rPr>
          <w:rFonts w:ascii="宋体" w:hAnsi="宋体" w:eastAsia="宋体"/>
          <w:b/>
          <w:color w:val="0C0C0C" w:themeColor="text1" w:themeTint="F2"/>
          <w:sz w:val="36"/>
          <w:szCs w:val="36"/>
        </w:rPr>
        <w:t>学员手册</w:t>
      </w:r>
    </w:p>
    <w:p>
      <w:pPr>
        <w:spacing w:line="480" w:lineRule="exact"/>
        <w:jc w:val="center"/>
        <w:rPr>
          <w:rFonts w:ascii="仿宋" w:hAnsi="仿宋" w:eastAsia="仿宋"/>
          <w:color w:val="0C0C0C" w:themeColor="text1" w:themeTint="F2"/>
          <w:sz w:val="28"/>
          <w:szCs w:val="28"/>
        </w:rPr>
      </w:pPr>
      <w:r>
        <w:rPr>
          <w:rFonts w:ascii="仿宋" w:hAnsi="仿宋" w:eastAsia="仿宋"/>
          <w:color w:val="0C0C0C" w:themeColor="text1" w:themeTint="F2"/>
          <w:sz w:val="28"/>
          <w:szCs w:val="28"/>
        </w:rPr>
        <w:t>(以正式报到后领取的版本为准)</w:t>
      </w: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b/>
          <w:color w:val="0C0C0C" w:themeColor="text1" w:themeTint="F2"/>
          <w:sz w:val="28"/>
          <w:szCs w:val="28"/>
        </w:rPr>
      </w:pPr>
      <w:r>
        <w:rPr>
          <w:rFonts w:ascii="宋体" w:hAnsi="宋体" w:eastAsia="宋体"/>
          <w:b/>
          <w:color w:val="0C0C0C" w:themeColor="text1" w:themeTint="F2"/>
          <w:sz w:val="28"/>
          <w:szCs w:val="28"/>
        </w:rPr>
        <w:t>主办单位：中国旅游协会旅游教育分会</w:t>
      </w:r>
    </w:p>
    <w:p>
      <w:pPr>
        <w:spacing w:line="480" w:lineRule="exact"/>
        <w:jc w:val="center"/>
        <w:rPr>
          <w:rFonts w:ascii="宋体" w:hAnsi="宋体" w:eastAsia="宋体"/>
          <w:b/>
          <w:color w:val="0C0C0C" w:themeColor="text1" w:themeTint="F2"/>
          <w:sz w:val="28"/>
          <w:szCs w:val="28"/>
        </w:rPr>
      </w:pPr>
      <w:r>
        <w:rPr>
          <w:rFonts w:ascii="宋体" w:hAnsi="宋体" w:eastAsia="宋体"/>
          <w:b/>
          <w:color w:val="0C0C0C" w:themeColor="text1" w:themeTint="F2"/>
          <w:sz w:val="28"/>
          <w:szCs w:val="28"/>
        </w:rPr>
        <w:t>承办单位：</w:t>
      </w:r>
      <w:r>
        <w:rPr>
          <w:rFonts w:hint="eastAsia" w:ascii="宋体" w:hAnsi="宋体" w:eastAsia="宋体"/>
          <w:b/>
          <w:color w:val="0C0C0C" w:themeColor="text1" w:themeTint="F2"/>
          <w:sz w:val="28"/>
          <w:szCs w:val="28"/>
        </w:rPr>
        <w:t>青岛酒店</w:t>
      </w:r>
      <w:r>
        <w:rPr>
          <w:rFonts w:ascii="宋体" w:hAnsi="宋体" w:eastAsia="宋体"/>
          <w:b/>
          <w:color w:val="0C0C0C" w:themeColor="text1" w:themeTint="F2"/>
          <w:sz w:val="28"/>
          <w:szCs w:val="28"/>
        </w:rPr>
        <w:t>管理职业技术学院</w:t>
      </w:r>
    </w:p>
    <w:p>
      <w:pPr>
        <w:spacing w:line="480" w:lineRule="exact"/>
        <w:jc w:val="center"/>
        <w:rPr>
          <w:rFonts w:ascii="宋体" w:hAnsi="宋体" w:eastAsia="宋体"/>
          <w:color w:val="0C0C0C" w:themeColor="text1" w:themeTint="F2"/>
          <w:sz w:val="28"/>
          <w:szCs w:val="28"/>
        </w:rPr>
      </w:pPr>
    </w:p>
    <w:p>
      <w:pPr>
        <w:spacing w:line="480" w:lineRule="exact"/>
        <w:jc w:val="center"/>
        <w:rPr>
          <w:rFonts w:ascii="宋体" w:hAnsi="宋体" w:eastAsia="宋体"/>
          <w:color w:val="0C0C0C" w:themeColor="text1" w:themeTint="F2"/>
          <w:sz w:val="28"/>
          <w:szCs w:val="28"/>
        </w:rPr>
      </w:pPr>
    </w:p>
    <w:p>
      <w:pPr>
        <w:spacing w:line="480" w:lineRule="exact"/>
        <w:jc w:val="center"/>
        <w:rPr>
          <w:rFonts w:ascii="黑体" w:hAnsi="黑体" w:eastAsia="黑体"/>
          <w:color w:val="0C0C0C" w:themeColor="text1" w:themeTint="F2"/>
          <w:sz w:val="28"/>
          <w:szCs w:val="28"/>
        </w:rPr>
      </w:pPr>
      <w:r>
        <w:rPr>
          <w:rFonts w:ascii="黑体" w:hAnsi="黑体" w:eastAsia="黑体"/>
          <w:color w:val="0C0C0C" w:themeColor="text1" w:themeTint="F2"/>
          <w:sz w:val="28"/>
          <w:szCs w:val="28"/>
        </w:rPr>
        <w:t>201</w:t>
      </w:r>
      <w:r>
        <w:rPr>
          <w:rFonts w:hint="eastAsia" w:ascii="黑体" w:hAnsi="黑体" w:eastAsia="黑体"/>
          <w:color w:val="0C0C0C" w:themeColor="text1" w:themeTint="F2"/>
          <w:sz w:val="28"/>
          <w:szCs w:val="28"/>
        </w:rPr>
        <w:t>9</w:t>
      </w:r>
      <w:r>
        <w:rPr>
          <w:rFonts w:ascii="黑体" w:hAnsi="黑体" w:eastAsia="黑体"/>
          <w:color w:val="0C0C0C" w:themeColor="text1" w:themeTint="F2"/>
          <w:sz w:val="28"/>
          <w:szCs w:val="28"/>
        </w:rPr>
        <w:t>年</w:t>
      </w:r>
      <w:r>
        <w:rPr>
          <w:rFonts w:hint="eastAsia" w:ascii="黑体" w:hAnsi="黑体" w:eastAsia="黑体"/>
          <w:color w:val="0C0C0C" w:themeColor="text1" w:themeTint="F2"/>
          <w:sz w:val="28"/>
          <w:szCs w:val="28"/>
        </w:rPr>
        <w:t>8</w:t>
      </w:r>
      <w:r>
        <w:rPr>
          <w:rFonts w:ascii="黑体" w:hAnsi="黑体" w:eastAsia="黑体"/>
          <w:color w:val="0C0C0C" w:themeColor="text1" w:themeTint="F2"/>
          <w:sz w:val="28"/>
          <w:szCs w:val="28"/>
        </w:rPr>
        <w:t>月</w:t>
      </w:r>
      <w:r>
        <w:rPr>
          <w:rFonts w:hint="eastAsia" w:ascii="黑体" w:hAnsi="黑体" w:eastAsia="黑体"/>
          <w:color w:val="0C0C0C" w:themeColor="text1" w:themeTint="F2"/>
          <w:sz w:val="28"/>
          <w:szCs w:val="28"/>
        </w:rPr>
        <w:t>4</w:t>
      </w:r>
      <w:r>
        <w:rPr>
          <w:rFonts w:ascii="黑体" w:hAnsi="黑体" w:eastAsia="黑体"/>
          <w:color w:val="0C0C0C" w:themeColor="text1" w:themeTint="F2"/>
          <w:sz w:val="28"/>
          <w:szCs w:val="28"/>
        </w:rPr>
        <w:t>日</w:t>
      </w:r>
      <w:r>
        <w:rPr>
          <w:rFonts w:hint="eastAsia" w:ascii="黑体" w:hAnsi="黑体" w:eastAsia="黑体"/>
          <w:color w:val="0C0C0C" w:themeColor="text1" w:themeTint="F2"/>
          <w:sz w:val="28"/>
          <w:szCs w:val="28"/>
        </w:rPr>
        <w:t>-</w:t>
      </w:r>
      <w:r>
        <w:rPr>
          <w:rFonts w:ascii="黑体" w:hAnsi="黑体" w:eastAsia="黑体"/>
          <w:color w:val="0C0C0C" w:themeColor="text1" w:themeTint="F2"/>
          <w:sz w:val="28"/>
          <w:szCs w:val="28"/>
        </w:rPr>
        <w:t>-11日</w:t>
      </w:r>
    </w:p>
    <w:p>
      <w:pPr>
        <w:spacing w:line="480" w:lineRule="exact"/>
        <w:jc w:val="center"/>
        <w:rPr>
          <w:rFonts w:ascii="黑体" w:hAnsi="黑体" w:eastAsia="黑体"/>
          <w:color w:val="0C0C0C" w:themeColor="text1" w:themeTint="F2"/>
          <w:sz w:val="28"/>
          <w:szCs w:val="28"/>
        </w:rPr>
      </w:pPr>
      <w:r>
        <w:rPr>
          <w:rFonts w:ascii="黑体" w:hAnsi="黑体" w:eastAsia="黑体"/>
          <w:color w:val="0C0C0C" w:themeColor="text1" w:themeTint="F2"/>
          <w:sz w:val="28"/>
          <w:szCs w:val="28"/>
        </w:rPr>
        <w:t>中国·</w:t>
      </w:r>
      <w:r>
        <w:rPr>
          <w:rFonts w:hint="eastAsia" w:ascii="黑体" w:hAnsi="黑体" w:eastAsia="黑体"/>
          <w:color w:val="0C0C0C" w:themeColor="text1" w:themeTint="F2"/>
          <w:sz w:val="28"/>
          <w:szCs w:val="28"/>
        </w:rPr>
        <w:t>青岛</w:t>
      </w:r>
    </w:p>
    <w:p>
      <w:pPr>
        <w:widowControl/>
        <w:jc w:val="left"/>
        <w:rPr>
          <w:color w:val="0C0C0C" w:themeColor="text1" w:themeTint="F2"/>
        </w:rPr>
      </w:pPr>
      <w:r>
        <w:rPr>
          <w:color w:val="0C0C0C" w:themeColor="text1" w:themeTint="F2"/>
        </w:rPr>
        <w:br w:type="page"/>
      </w:r>
    </w:p>
    <w:p>
      <w:pPr>
        <w:spacing w:line="480" w:lineRule="exact"/>
        <w:jc w:val="left"/>
        <w:rPr>
          <w:rFonts w:ascii="黑体" w:hAnsi="黑体" w:eastAsia="黑体"/>
          <w:color w:val="0C0C0C" w:themeColor="text1" w:themeTint="F2"/>
          <w:sz w:val="28"/>
          <w:szCs w:val="28"/>
        </w:rPr>
      </w:pPr>
      <w:r>
        <w:rPr>
          <w:rFonts w:ascii="黑体" w:hAnsi="黑体" w:eastAsia="黑体"/>
          <w:color w:val="0C0C0C" w:themeColor="text1" w:themeTint="F2"/>
          <w:sz w:val="28"/>
          <w:szCs w:val="28"/>
        </w:rPr>
        <w:t>一、培训目标与承办校简介</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由中国旅游协会旅游教育分会主办、青岛酒店管理职业技术学院承办的2019年全国旅游院校导游教学骨干师资培训班旨在围绕推进旅游院校导游专业（方向）教学改革深化、提高导游教学骨干教育教学质量；探讨导游专业（方向）教育教学方案、拓展导游教学骨干视野；促进导游教学骨干综合素质培养，分享旅游管理专业建设实践成果；重点分享全国旅游院校服务技能（导游服务）大赛的参赛经验和选手辅导经验。本次培训将贯彻理论联系实际的原则，邀请专业院校导游教学资深教师、行业协会知名人士、全国模范（优秀）导游、政府主管部门领导等主讲，有鲜明的理论性、现实性、针对性与实践性。通过学习交流搭建导游教学骨干师资交流平台，让全国导游教学骨干有机会了解和把握导游教学的最新成果与动态，拓宽导游教育视野和提高导游专业（方向）教学水平。</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青岛酒店管理职业技术学院始建于1945年，2002年经山东省人民政府批准成立为全日制国办普通高等职业院校，是我国第一所独立设置的公办酒店管理学院。学院是山东省首批特色名校、山东省首批优质高等职业院校、青岛市首批品牌高职院校、教育部第一批教育信息化试点单位，也是“全国职业教育先进单位”“山东省职业教育先进单位”“省级文明单位”“青岛市文明校园”。学院现有8个二级院部，37个专业（含方向），全日制高职在校生近15000人。学院拥有全国职业院校示范专业点2个，中央财政支持建设专业2个；专本贯通分段培养专业2个，省级示范专业2个，省级特色专业7个，省级重点建设专业10个，省级品牌专业群2个；国家级现代学徒制试点项目1个，省市级现代学徒制试点项目7个，牵头开发省级教学指导方案7个；青岛市高职重点建设专业6个；山东省酒店业职业教育集团1个，山东半岛专业办学联盟1个，青岛市中高职专业办学联盟2个。</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旅游与酒店管理学院是青岛酒店管理职业技术学院高度聚焦、重点发展的品牌学院，是全国职业教育先进单位、全国五四红旗团支部、中国旅游协会旅游教育分会副会长单位、山东省高职旅游管理专业教学指导方案开发牵头单位、山东半岛中高职旅游管理专业办学联盟牵头单位、青岛市中高职酒店管理专业办学联盟牵头单位。近几年，学院在教育教学改革方面取得了大批成果，制定了国家、省、市、区20余项行业标准。自山东省高职专业教学质量评估以来，我院包括酒店管理、旅游管理、会展策划与管理在内的旅游大类专业连续六年获得山东省第一名。在2018年中国旅游高职高专院校核心专业竞争力排名中，我院酒店管理、旅游管理、会展策划与管理三个专业均被评为最高星级五星级专业，分别位列全国二</w:t>
      </w:r>
      <w:r>
        <w:rPr>
          <w:rFonts w:ascii="仿宋" w:hAnsi="仿宋" w:eastAsia="仿宋"/>
          <w:color w:val="0C0C0C" w:themeColor="text1" w:themeTint="F2"/>
          <w:sz w:val="28"/>
          <w:szCs w:val="28"/>
        </w:rPr>
        <w:t>、三、四位</w:t>
      </w:r>
      <w:r>
        <w:rPr>
          <w:rFonts w:hint="eastAsia" w:ascii="仿宋" w:hAnsi="仿宋" w:eastAsia="仿宋"/>
          <w:color w:val="0C0C0C" w:themeColor="text1" w:themeTint="F2"/>
          <w:sz w:val="28"/>
          <w:szCs w:val="28"/>
        </w:rPr>
        <w:t>。</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学院师资力量雄厚，现有专职教师 8</w:t>
      </w:r>
      <w:r>
        <w:rPr>
          <w:rFonts w:ascii="仿宋" w:hAnsi="仿宋" w:eastAsia="仿宋"/>
          <w:color w:val="0C0C0C" w:themeColor="text1" w:themeTint="F2"/>
          <w:sz w:val="28"/>
          <w:szCs w:val="28"/>
        </w:rPr>
        <w:t>4</w:t>
      </w:r>
      <w:r>
        <w:rPr>
          <w:rFonts w:hint="eastAsia" w:ascii="仿宋" w:hAnsi="仿宋" w:eastAsia="仿宋"/>
          <w:color w:val="0C0C0C" w:themeColor="text1" w:themeTint="F2"/>
          <w:sz w:val="28"/>
          <w:szCs w:val="28"/>
        </w:rPr>
        <w:t>人，100%具有研究生学历，100%具有行业挂职经历, 100%具有海外培训背景，100%具有双师素质，100%拥有职业高级资格认证。酒店管理专业教学团队、旅游管理专业教学团队被评为山东省省级教学团队。学院建设有全国一流的实训基地，包括中央财政实训基地 1 个，省级现代服务业实训基地 1 个。目前拥有技能操练中心、综合实训中心、国际交流中心三大酒店实训中心和旅游管理理实一体化实训中心、空中乘务实训中心。包含模拟旅行社</w:t>
      </w:r>
      <w:r>
        <w:rPr>
          <w:rFonts w:ascii="仿宋" w:hAnsi="仿宋" w:eastAsia="仿宋"/>
          <w:color w:val="0C0C0C" w:themeColor="text1" w:themeTint="F2"/>
          <w:sz w:val="28"/>
          <w:szCs w:val="28"/>
        </w:rPr>
        <w:t>、智慧旅游实训室、微格教室、</w:t>
      </w:r>
      <w:r>
        <w:rPr>
          <w:rFonts w:hint="eastAsia" w:ascii="仿宋" w:hAnsi="仿宋" w:eastAsia="仿宋"/>
          <w:color w:val="0C0C0C" w:themeColor="text1" w:themeTint="F2"/>
          <w:sz w:val="28"/>
          <w:szCs w:val="28"/>
        </w:rPr>
        <w:t>3D导游实训室</w:t>
      </w:r>
      <w:r>
        <w:rPr>
          <w:rFonts w:ascii="仿宋" w:hAnsi="仿宋" w:eastAsia="仿宋"/>
          <w:color w:val="0C0C0C" w:themeColor="text1" w:themeTint="F2"/>
          <w:sz w:val="28"/>
          <w:szCs w:val="28"/>
        </w:rPr>
        <w:t>、会展实训室、邮轮实训室、</w:t>
      </w:r>
      <w:r>
        <w:rPr>
          <w:rFonts w:hint="eastAsia" w:ascii="仿宋" w:hAnsi="仿宋" w:eastAsia="仿宋"/>
          <w:color w:val="0C0C0C" w:themeColor="text1" w:themeTint="F2"/>
          <w:sz w:val="28"/>
          <w:szCs w:val="28"/>
        </w:rPr>
        <w:t>调酒实训室、咖啡实训室、花艺室、茶艺室、会展策划实训室、客房实训室、中西餐实训室等实践教学基地。此还外学院还投资建设了教学实训用主题实验餐厅——食.COM 餐厅，同时与如家酒店管理集团和银座旅游集团合作分别建设如家酒店校园店（酒店）和银座旅游校园店（旅行社）2个校企一体化生产性实训基地。与山东省文旅集团、山东省银座旅游集团共建混所有制特征的银座文旅学院，与洲际酒店集团共建洲际战略英才学院。学院高度重视学生技能培养，在中国旅游协会举办的历届全国旅游院校导游服务技能大赛、历届全国旅游院校饭店服务技能大赛中均囊括一等奖；在教育部主办的全国职业院校技能大赛中，多次获得中餐主题宴会设计、西餐宴会摆台、中英文导游赛项一等奖。并于2017年连续承办第九届全国旅游院校服务技能（饭店服务）大赛和全国职业院校技能大赛中餐主题宴会设计赛项。办学质量得到政府、行业、用人单位和社会的高度认可。多年来，学院依托行业，积极探索和创新实践教学模式，在国内外建立了一批高质量的实训实习基地。</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旅游管理专业是学院首批设立的专业之一，于2002年设立。专业重点培养具有“互联网+”思维、国际化视野、专业技能和综合设计素养的复合型高素质技术技能型人才，已培养学生5000余人；专业积极服务于旅游行业，搭建“基础共享、核心分开、拓展互选”课程体系，培养一专多能的“双师型”教师团队，拥有“共享型”双创实训中心。先后获得以下荣誉：全国职业院校旅游类示范专业；全国旅游类校企合作示范基地；山东省高等职业院校专业质量评估中，办学实力连续六年排名第一；在中国旅游高职院校评估中，核心专业竞争力排名全国第三；山东省省级特色专业；山东省省级教学团队；首批山东省优质高等职业院校重点建设专业；山东省技能型名校工程省财政重点建设专业；教育部现代学徒制试点专业、山东省现代学徒制试点专业；山东省三年制/五年制高等职业教育旅游管理教学指导方案牵头院校；青岛市重点专业、牵头组建青岛中高职旅游管理专业办学联盟、青岛市工人先锋号；与青岛大学联合举办“3+2”专本贯通分段培养；获批山东省职业院校技能大赛高职组导游服务赛项赛点；获批山东省首个旅游教学资源库；获批山东省品牌专业群；连续六届承办青岛市导游大赛，荣获突出贡献奖、最佳组织奖、工人先锋号。</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目前旅游管理专业与</w:t>
      </w:r>
      <w:r>
        <w:rPr>
          <w:rFonts w:ascii="仿宋" w:hAnsi="仿宋" w:eastAsia="仿宋"/>
          <w:color w:val="0C0C0C" w:themeColor="text1" w:themeTint="F2"/>
          <w:sz w:val="28"/>
          <w:szCs w:val="28"/>
        </w:rPr>
        <w:t>银座旅游集团共建银座</w:t>
      </w:r>
      <w:r>
        <w:rPr>
          <w:rFonts w:hint="eastAsia" w:ascii="仿宋" w:hAnsi="仿宋" w:eastAsia="仿宋"/>
          <w:color w:val="0C0C0C" w:themeColor="text1" w:themeTint="F2"/>
          <w:sz w:val="28"/>
          <w:szCs w:val="28"/>
        </w:rPr>
        <w:t>文旅学院</w:t>
      </w:r>
      <w:r>
        <w:rPr>
          <w:rFonts w:ascii="仿宋" w:hAnsi="仿宋" w:eastAsia="仿宋"/>
          <w:color w:val="0C0C0C" w:themeColor="text1" w:themeTint="F2"/>
          <w:sz w:val="28"/>
          <w:szCs w:val="28"/>
        </w:rPr>
        <w:t>，与青岛市旅游协会研学旅行分会共建山东研学旅行分会。</w:t>
      </w:r>
      <w:r>
        <w:rPr>
          <w:rFonts w:hint="eastAsia" w:ascii="仿宋" w:hAnsi="仿宋" w:eastAsia="仿宋"/>
          <w:color w:val="0C0C0C" w:themeColor="text1" w:themeTint="F2"/>
          <w:sz w:val="28"/>
          <w:szCs w:val="28"/>
        </w:rPr>
        <w:t>毕业生占青岛市旅游从业人员总数</w:t>
      </w:r>
      <w:r>
        <w:rPr>
          <w:rFonts w:ascii="仿宋" w:hAnsi="仿宋" w:eastAsia="仿宋"/>
          <w:color w:val="0C0C0C" w:themeColor="text1" w:themeTint="F2"/>
          <w:sz w:val="28"/>
          <w:szCs w:val="28"/>
        </w:rPr>
        <w:t>的40</w:t>
      </w:r>
      <w:r>
        <w:rPr>
          <w:rFonts w:hint="eastAsia" w:ascii="仿宋" w:hAnsi="仿宋" w:eastAsia="仿宋"/>
          <w:color w:val="0C0C0C" w:themeColor="text1" w:themeTint="F2"/>
          <w:sz w:val="28"/>
          <w:szCs w:val="28"/>
        </w:rPr>
        <w:t>%。十几届毕业生中，有近</w:t>
      </w:r>
      <w:r>
        <w:rPr>
          <w:rFonts w:ascii="仿宋" w:hAnsi="仿宋" w:eastAsia="仿宋"/>
          <w:color w:val="0C0C0C" w:themeColor="text1" w:themeTint="F2"/>
          <w:sz w:val="28"/>
          <w:szCs w:val="28"/>
        </w:rPr>
        <w:t>30</w:t>
      </w:r>
      <w:r>
        <w:rPr>
          <w:rFonts w:hint="eastAsia" w:ascii="仿宋" w:hAnsi="仿宋" w:eastAsia="仿宋"/>
          <w:color w:val="0C0C0C" w:themeColor="text1" w:themeTint="F2"/>
          <w:sz w:val="28"/>
          <w:szCs w:val="28"/>
        </w:rPr>
        <w:t>00名同学进入大型旅游企事业单位工作；近1</w:t>
      </w:r>
      <w:r>
        <w:rPr>
          <w:rFonts w:ascii="仿宋" w:hAnsi="仿宋" w:eastAsia="仿宋"/>
          <w:color w:val="0C0C0C" w:themeColor="text1" w:themeTint="F2"/>
          <w:sz w:val="28"/>
          <w:szCs w:val="28"/>
        </w:rPr>
        <w:t>2</w:t>
      </w:r>
      <w:r>
        <w:rPr>
          <w:rFonts w:hint="eastAsia" w:ascii="仿宋" w:hAnsi="仿宋" w:eastAsia="仿宋"/>
          <w:color w:val="0C0C0C" w:themeColor="text1" w:themeTint="F2"/>
          <w:sz w:val="28"/>
          <w:szCs w:val="28"/>
        </w:rPr>
        <w:t>00名同学从事出境旅游领队工作，很多同学已经迈进企业中层以上的管理岗位，实现自己既定的</w:t>
      </w:r>
      <w:r>
        <w:rPr>
          <w:rFonts w:ascii="仿宋" w:hAnsi="仿宋" w:eastAsia="仿宋"/>
          <w:color w:val="0C0C0C" w:themeColor="text1" w:themeTint="F2"/>
          <w:sz w:val="28"/>
          <w:szCs w:val="28"/>
        </w:rPr>
        <w:t>职业目标</w:t>
      </w:r>
      <w:r>
        <w:rPr>
          <w:rFonts w:hint="eastAsia" w:ascii="仿宋" w:hAnsi="仿宋" w:eastAsia="仿宋"/>
          <w:color w:val="0C0C0C" w:themeColor="text1" w:themeTint="F2"/>
          <w:sz w:val="28"/>
          <w:szCs w:val="28"/>
        </w:rPr>
        <w:t>。近五年旅游管理学生参加省市级及以上比赛获得荣誉近百项，其中在2013年至2018年全国职业院校技能大赛导游服务赛项中，旅游管理专业学生共获得一等奖3个、二等奖6个、三等奖2个；在2010-2018中国旅游协会教育分会主办的5届全国旅游院校服务技能大赛（导游赛项）中，获得高校普通话组</w:t>
      </w:r>
      <w:r>
        <w:rPr>
          <w:rFonts w:ascii="仿宋" w:hAnsi="仿宋" w:eastAsia="仿宋"/>
          <w:color w:val="0C0C0C" w:themeColor="text1" w:themeTint="F2"/>
          <w:sz w:val="28"/>
          <w:szCs w:val="28"/>
        </w:rPr>
        <w:t>和英语组一等奖20</w:t>
      </w:r>
      <w:r>
        <w:rPr>
          <w:rFonts w:hint="eastAsia" w:ascii="仿宋" w:hAnsi="仿宋" w:eastAsia="仿宋"/>
          <w:color w:val="0C0C0C" w:themeColor="text1" w:themeTint="F2"/>
          <w:sz w:val="28"/>
          <w:szCs w:val="28"/>
        </w:rPr>
        <w:t>个，是全国唯一获得大满贯的院校。</w:t>
      </w:r>
    </w:p>
    <w:p>
      <w:pPr>
        <w:jc w:val="left"/>
        <w:rPr>
          <w:rFonts w:ascii="黑体" w:hAnsi="黑体" w:eastAsia="黑体"/>
          <w:color w:val="0C0C0C" w:themeColor="text1" w:themeTint="F2"/>
          <w:sz w:val="28"/>
          <w:szCs w:val="28"/>
        </w:rPr>
      </w:pPr>
      <w:r>
        <w:rPr>
          <w:rFonts w:ascii="黑体" w:hAnsi="黑体" w:eastAsia="黑体"/>
          <w:color w:val="0C0C0C" w:themeColor="text1" w:themeTint="F2"/>
          <w:sz w:val="28"/>
          <w:szCs w:val="28"/>
        </w:rPr>
        <w:t>二、培训守则</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为建立良好的教学秩序，确保教学效果，特制定如下管理要求，请各位学员自觉遵守。</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1.严格遵守培训日程安排，严禁迟到早退；</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2.不得带其他与培训无关的人员进入课堂；</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3.请至少提前五分钟进入上课地点；</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4.课堂中禁止吸烟，若有需要请移步楼宇之外；</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5.请将手机调至静音状态，严禁在座位上接听电话；</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6.请勿在课堂上随意议论、喧哗走动、随意进出；</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7.不得无故缺课，如确因特殊情况需请假，应提前向总负责人申请；</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8.上课时穿着应整洁、得体，严禁穿拖鞋、背心和其他不雅服饰，严禁在上课期间吃零食；</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9.主题讲座和专题讨论期间注意文明礼貌，言辞得体；</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10.请学员认真做好笔记。如确需培训课件者，请课后与班主任联系；</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11.请妥善保管随身贵重物品，注意人身及财产安全。</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请全体学员务必严格遵守以上要求，违反规定者将给予警告直至取消培训资格，并将相应情况反馈至学员所在单位。</w:t>
      </w:r>
    </w:p>
    <w:p>
      <w:pPr>
        <w:rPr>
          <w:rFonts w:hint="eastAsia" w:ascii="仿宋" w:hAnsi="仿宋" w:eastAsia="仿宋"/>
          <w:color w:val="0C0C0C" w:themeColor="text1" w:themeTint="F2"/>
          <w:sz w:val="28"/>
          <w:szCs w:val="28"/>
        </w:rPr>
      </w:pPr>
    </w:p>
    <w:p>
      <w:pPr>
        <w:rPr>
          <w:rFonts w:ascii="仿宋" w:hAnsi="仿宋" w:eastAsia="仿宋"/>
          <w:color w:val="0C0C0C" w:themeColor="text1" w:themeTint="F2"/>
          <w:sz w:val="28"/>
          <w:szCs w:val="28"/>
        </w:rPr>
      </w:pP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三、日程安排</w:t>
      </w:r>
    </w:p>
    <w:tbl>
      <w:tblPr>
        <w:tblStyle w:val="16"/>
        <w:tblW w:w="8394"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
      <w:tblGrid>
        <w:gridCol w:w="1153"/>
        <w:gridCol w:w="1695"/>
        <w:gridCol w:w="3108"/>
        <w:gridCol w:w="870"/>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181" w:hRule="atLeast"/>
        </w:trPr>
        <w:tc>
          <w:tcPr>
            <w:tcW w:w="2848" w:type="dxa"/>
            <w:gridSpan w:val="2"/>
            <w:vAlign w:val="center"/>
          </w:tcPr>
          <w:p>
            <w:pPr>
              <w:ind w:right="79"/>
              <w:jc w:val="center"/>
              <w:rPr>
                <w:rFonts w:ascii="楷体" w:hAnsi="楷体" w:eastAsia="楷体"/>
                <w:color w:val="0C0C0C" w:themeColor="text1" w:themeTint="F2"/>
                <w:sz w:val="24"/>
                <w:szCs w:val="24"/>
              </w:rPr>
            </w:pPr>
            <w:r>
              <w:rPr>
                <w:rFonts w:ascii="楷体" w:hAnsi="楷体" w:eastAsia="楷体"/>
                <w:color w:val="0C0C0C" w:themeColor="text1" w:themeTint="F2"/>
                <w:sz w:val="24"/>
                <w:szCs w:val="24"/>
              </w:rPr>
              <w:t>时间</w:t>
            </w:r>
          </w:p>
        </w:tc>
        <w:tc>
          <w:tcPr>
            <w:tcW w:w="3108" w:type="dxa"/>
            <w:vAlign w:val="center"/>
          </w:tcPr>
          <w:p>
            <w:pPr>
              <w:ind w:right="97"/>
              <w:jc w:val="center"/>
              <w:rPr>
                <w:rFonts w:ascii="楷体" w:hAnsi="楷体" w:eastAsia="楷体"/>
                <w:color w:val="0C0C0C" w:themeColor="text1" w:themeTint="F2"/>
                <w:sz w:val="24"/>
                <w:szCs w:val="24"/>
              </w:rPr>
            </w:pPr>
            <w:r>
              <w:rPr>
                <w:rFonts w:ascii="楷体" w:hAnsi="楷体" w:eastAsia="楷体"/>
                <w:color w:val="0C0C0C" w:themeColor="text1" w:themeTint="F2"/>
                <w:sz w:val="24"/>
                <w:szCs w:val="24"/>
              </w:rPr>
              <w:t>课程、活动</w:t>
            </w:r>
          </w:p>
        </w:tc>
        <w:tc>
          <w:tcPr>
            <w:tcW w:w="870"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主讲人</w:t>
            </w:r>
          </w:p>
        </w:tc>
        <w:tc>
          <w:tcPr>
            <w:tcW w:w="1568" w:type="dxa"/>
            <w:vAlign w:val="center"/>
          </w:tcPr>
          <w:p>
            <w:pPr>
              <w:ind w:right="88"/>
              <w:jc w:val="center"/>
              <w:rPr>
                <w:rFonts w:ascii="楷体" w:hAnsi="楷体" w:eastAsia="楷体"/>
                <w:color w:val="0C0C0C" w:themeColor="text1" w:themeTint="F2"/>
                <w:sz w:val="24"/>
                <w:szCs w:val="24"/>
              </w:rPr>
            </w:pPr>
            <w:r>
              <w:rPr>
                <w:rFonts w:ascii="楷体" w:hAnsi="楷体" w:eastAsia="楷体"/>
                <w:color w:val="0C0C0C" w:themeColor="text1" w:themeTint="F2"/>
                <w:sz w:val="24"/>
                <w:szCs w:val="24"/>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w:t>
            </w:r>
            <w:r>
              <w:rPr>
                <w:rFonts w:ascii="楷体" w:hAnsi="楷体" w:eastAsia="楷体"/>
                <w:color w:val="0C0C0C" w:themeColor="text1" w:themeTint="F2"/>
                <w:sz w:val="24"/>
                <w:szCs w:val="24"/>
              </w:rPr>
              <w:t>4</w:t>
            </w:r>
            <w:r>
              <w:rPr>
                <w:rFonts w:hint="eastAsia" w:ascii="楷体" w:hAnsi="楷体" w:eastAsia="楷体"/>
                <w:color w:val="0C0C0C" w:themeColor="text1" w:themeTint="F2"/>
                <w:sz w:val="24"/>
                <w:szCs w:val="24"/>
              </w:rPr>
              <w:t>日</w:t>
            </w:r>
          </w:p>
        </w:tc>
        <w:tc>
          <w:tcPr>
            <w:tcW w:w="1695" w:type="dxa"/>
            <w:vAlign w:val="center"/>
          </w:tcPr>
          <w:p>
            <w:pPr>
              <w:ind w:right="96"/>
              <w:jc w:val="center"/>
              <w:rPr>
                <w:rFonts w:ascii="楷体" w:hAnsi="楷体" w:eastAsia="楷体"/>
                <w:color w:val="0C0C0C" w:themeColor="text1" w:themeTint="F2"/>
                <w:sz w:val="24"/>
                <w:szCs w:val="24"/>
              </w:rPr>
            </w:pPr>
            <w:r>
              <w:rPr>
                <w:rFonts w:ascii="楷体" w:hAnsi="楷体" w:eastAsia="楷体"/>
                <w:color w:val="0C0C0C" w:themeColor="text1" w:themeTint="F2"/>
                <w:sz w:val="24"/>
                <w:szCs w:val="24"/>
              </w:rPr>
              <w:t>全天</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学员报到/入住</w:t>
            </w:r>
          </w:p>
        </w:tc>
        <w:tc>
          <w:tcPr>
            <w:tcW w:w="870" w:type="dxa"/>
            <w:vAlign w:val="center"/>
          </w:tcPr>
          <w:p>
            <w:pPr>
              <w:rPr>
                <w:rFonts w:ascii="楷体" w:hAnsi="楷体" w:eastAsia="楷体"/>
                <w:color w:val="0C0C0C" w:themeColor="text1" w:themeTint="F2"/>
                <w:sz w:val="24"/>
                <w:szCs w:val="24"/>
              </w:rPr>
            </w:pP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4" w:hRule="atLeast"/>
        </w:trPr>
        <w:tc>
          <w:tcPr>
            <w:tcW w:w="1153" w:type="dxa"/>
            <w:vMerge w:val="restart"/>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w:t>
            </w:r>
            <w:r>
              <w:rPr>
                <w:rFonts w:ascii="楷体" w:hAnsi="楷体" w:eastAsia="楷体"/>
                <w:color w:val="0C0C0C" w:themeColor="text1" w:themeTint="F2"/>
                <w:sz w:val="24"/>
                <w:szCs w:val="24"/>
              </w:rPr>
              <w:t>5</w:t>
            </w:r>
            <w:r>
              <w:rPr>
                <w:rFonts w:hint="eastAsia" w:ascii="楷体" w:hAnsi="楷体" w:eastAsia="楷体"/>
                <w:color w:val="0C0C0C" w:themeColor="text1" w:themeTint="F2"/>
                <w:sz w:val="24"/>
                <w:szCs w:val="24"/>
              </w:rPr>
              <w:t>日</w:t>
            </w: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09:00—09:30 </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开班典礼（合影）</w:t>
            </w:r>
          </w:p>
        </w:tc>
        <w:tc>
          <w:tcPr>
            <w:tcW w:w="870" w:type="dxa"/>
            <w:vAlign w:val="center"/>
          </w:tcPr>
          <w:p>
            <w:pPr>
              <w:rPr>
                <w:rFonts w:ascii="楷体" w:hAnsi="楷体" w:eastAsia="楷体"/>
                <w:color w:val="0C0C0C" w:themeColor="text1" w:themeTint="F2"/>
                <w:sz w:val="24"/>
                <w:szCs w:val="24"/>
              </w:rPr>
            </w:pP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09</w:t>
            </w:r>
            <w:r>
              <w:rPr>
                <w:rFonts w:hint="eastAsia" w:ascii="楷体" w:hAnsi="楷体" w:eastAsia="楷体"/>
                <w:color w:val="0C0C0C" w:themeColor="text1" w:themeTint="F2"/>
                <w:sz w:val="24"/>
                <w:szCs w:val="24"/>
              </w:rPr>
              <w:t>:40</w:t>
            </w:r>
            <w:r>
              <w:rPr>
                <w:rFonts w:ascii="楷体" w:hAnsi="楷体" w:eastAsia="楷体"/>
                <w:color w:val="0C0C0C" w:themeColor="text1" w:themeTint="F2"/>
                <w:sz w:val="24"/>
                <w:szCs w:val="24"/>
              </w:rPr>
              <w:t>—</w:t>
            </w:r>
            <w:r>
              <w:rPr>
                <w:rFonts w:hint="eastAsia" w:ascii="楷体" w:hAnsi="楷体" w:eastAsia="楷体"/>
                <w:color w:val="0C0C0C" w:themeColor="text1" w:themeTint="F2"/>
                <w:sz w:val="24"/>
                <w:szCs w:val="24"/>
              </w:rPr>
              <w:t>11：40</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优秀导游的必备素质与自我提升</w:t>
            </w:r>
          </w:p>
        </w:tc>
        <w:tc>
          <w:tcPr>
            <w:tcW w:w="870" w:type="dxa"/>
            <w:vAlign w:val="center"/>
          </w:tcPr>
          <w:p>
            <w:pPr>
              <w:ind w:right="36"/>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熊剑平</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688"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14:30—17:00 </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以赛促学、以赛促教——导游</w:t>
            </w:r>
            <w:r>
              <w:rPr>
                <w:rFonts w:ascii="楷体" w:hAnsi="楷体" w:eastAsia="楷体"/>
                <w:color w:val="0C0C0C" w:themeColor="text1" w:themeTint="F2"/>
                <w:sz w:val="24"/>
                <w:szCs w:val="24"/>
              </w:rPr>
              <w:t>技能</w:t>
            </w:r>
            <w:r>
              <w:rPr>
                <w:rFonts w:hint="eastAsia" w:ascii="楷体" w:hAnsi="楷体" w:eastAsia="楷体"/>
                <w:color w:val="0C0C0C" w:themeColor="text1" w:themeTint="F2"/>
                <w:sz w:val="24"/>
                <w:szCs w:val="24"/>
              </w:rPr>
              <w:t>教学模式探讨</w:t>
            </w:r>
          </w:p>
        </w:tc>
        <w:tc>
          <w:tcPr>
            <w:tcW w:w="870" w:type="dxa"/>
            <w:vAlign w:val="center"/>
          </w:tcPr>
          <w:p>
            <w:pPr>
              <w:ind w:left="12"/>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石媚山</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restart"/>
            <w:vAlign w:val="center"/>
          </w:tcPr>
          <w:p>
            <w:pPr>
              <w:ind w:left="48"/>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8月6日</w:t>
            </w: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09:00—11:30 </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文旅融合背景下导游、领队职业发展之路</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孙树伟</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4"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14:30—17:00 </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如何提高导游讲解技能</w:t>
            </w:r>
          </w:p>
        </w:tc>
        <w:tc>
          <w:tcPr>
            <w:tcW w:w="870" w:type="dxa"/>
            <w:vAlign w:val="center"/>
          </w:tcPr>
          <w:p>
            <w:pPr>
              <w:ind w:right="36"/>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李志军</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90" w:hRule="atLeast"/>
        </w:trPr>
        <w:tc>
          <w:tcPr>
            <w:tcW w:w="1153" w:type="dxa"/>
            <w:vMerge w:val="restart"/>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月7日</w:t>
            </w: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09:00—11:30 </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现场教学1：校企深度合作共育</w:t>
            </w:r>
            <w:r>
              <w:rPr>
                <w:rFonts w:hint="eastAsia" w:ascii="楷体" w:hAnsi="楷体" w:eastAsia="楷体"/>
                <w:color w:val="0C0C0C" w:themeColor="text1" w:themeTint="F2"/>
                <w:sz w:val="24"/>
                <w:szCs w:val="24"/>
              </w:rPr>
              <w:t>导游</w:t>
            </w:r>
            <w:r>
              <w:rPr>
                <w:rFonts w:ascii="楷体" w:hAnsi="楷体" w:eastAsia="楷体"/>
                <w:color w:val="0C0C0C" w:themeColor="text1" w:themeTint="F2"/>
                <w:sz w:val="24"/>
                <w:szCs w:val="24"/>
              </w:rPr>
              <w:t>人才的“</w:t>
            </w:r>
            <w:r>
              <w:rPr>
                <w:rFonts w:hint="eastAsia" w:ascii="楷体" w:hAnsi="楷体" w:eastAsia="楷体"/>
                <w:color w:val="0C0C0C" w:themeColor="text1" w:themeTint="F2"/>
                <w:sz w:val="24"/>
                <w:szCs w:val="24"/>
              </w:rPr>
              <w:t>青啤</w:t>
            </w:r>
            <w:r>
              <w:rPr>
                <w:rFonts w:ascii="楷体" w:hAnsi="楷体" w:eastAsia="楷体"/>
                <w:color w:val="0C0C0C" w:themeColor="text1" w:themeTint="F2"/>
                <w:sz w:val="24"/>
                <w:szCs w:val="24"/>
              </w:rPr>
              <w:t xml:space="preserve">模式” </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朱丽男</w:t>
            </w: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青岛</w:t>
            </w:r>
            <w:r>
              <w:rPr>
                <w:rFonts w:ascii="楷体" w:hAnsi="楷体" w:eastAsia="楷体"/>
                <w:color w:val="0C0C0C" w:themeColor="text1" w:themeTint="F2"/>
                <w:sz w:val="24"/>
                <w:szCs w:val="24"/>
              </w:rPr>
              <w:t>啤酒博物馆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402"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14:30—17</w:t>
            </w:r>
            <w:r>
              <w:rPr>
                <w:rFonts w:hint="eastAsia" w:ascii="楷体" w:hAnsi="楷体" w:eastAsia="楷体"/>
                <w:color w:val="0C0C0C" w:themeColor="text1" w:themeTint="F2"/>
                <w:sz w:val="24"/>
                <w:szCs w:val="24"/>
              </w:rPr>
              <w:t>:00</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现场</w:t>
            </w:r>
            <w:r>
              <w:rPr>
                <w:rFonts w:hint="eastAsia" w:ascii="楷体" w:hAnsi="楷体" w:eastAsia="楷体"/>
                <w:color w:val="0C0C0C" w:themeColor="text1" w:themeTint="F2"/>
                <w:sz w:val="24"/>
                <w:szCs w:val="24"/>
              </w:rPr>
              <w:t>教学</w:t>
            </w:r>
            <w:r>
              <w:rPr>
                <w:rFonts w:ascii="楷体" w:hAnsi="楷体" w:eastAsia="楷体"/>
                <w:color w:val="0C0C0C" w:themeColor="text1" w:themeTint="F2"/>
                <w:sz w:val="24"/>
                <w:szCs w:val="24"/>
              </w:rPr>
              <w:t>2：</w:t>
            </w:r>
            <w:r>
              <w:rPr>
                <w:rFonts w:hint="eastAsia" w:ascii="楷体" w:hAnsi="楷体" w:eastAsia="楷体"/>
                <w:color w:val="0C0C0C" w:themeColor="text1" w:themeTint="F2"/>
                <w:sz w:val="24"/>
                <w:szCs w:val="24"/>
              </w:rPr>
              <w:t>《现场导游服务》课程设计与体验——以文旅</w:t>
            </w:r>
            <w:r>
              <w:rPr>
                <w:rFonts w:ascii="楷体" w:hAnsi="楷体" w:eastAsia="楷体"/>
                <w:color w:val="0C0C0C" w:themeColor="text1" w:themeTint="F2"/>
                <w:sz w:val="24"/>
                <w:szCs w:val="24"/>
              </w:rPr>
              <w:t>和节庆</w:t>
            </w:r>
            <w:r>
              <w:rPr>
                <w:rFonts w:hint="eastAsia" w:ascii="楷体" w:hAnsi="楷体" w:eastAsia="楷体"/>
                <w:color w:val="0C0C0C" w:themeColor="text1" w:themeTint="F2"/>
                <w:sz w:val="24"/>
                <w:szCs w:val="24"/>
              </w:rPr>
              <w:t>旅游线路</w:t>
            </w:r>
            <w:r>
              <w:rPr>
                <w:rFonts w:ascii="楷体" w:hAnsi="楷体" w:eastAsia="楷体"/>
                <w:color w:val="0C0C0C" w:themeColor="text1" w:themeTint="F2"/>
                <w:sz w:val="24"/>
                <w:szCs w:val="24"/>
              </w:rPr>
              <w:t>为例</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田  超</w:t>
            </w: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青岛贝壳博物馆、</w:t>
            </w:r>
            <w:r>
              <w:rPr>
                <w:rFonts w:ascii="楷体" w:hAnsi="楷体" w:eastAsia="楷体"/>
                <w:color w:val="0C0C0C" w:themeColor="text1" w:themeTint="F2"/>
                <w:sz w:val="24"/>
                <w:szCs w:val="24"/>
              </w:rPr>
              <w:t>青岛啤酒节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restart"/>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月8日</w:t>
            </w: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09:00—11:30 </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新赛制下的院校导游赛制改革、</w:t>
            </w:r>
            <w:r>
              <w:rPr>
                <w:rFonts w:ascii="楷体" w:hAnsi="楷体" w:eastAsia="楷体"/>
                <w:color w:val="0C0C0C" w:themeColor="text1" w:themeTint="F2"/>
                <w:sz w:val="24"/>
                <w:szCs w:val="24"/>
              </w:rPr>
              <w:t>选手培养与</w:t>
            </w:r>
            <w:r>
              <w:rPr>
                <w:rFonts w:hint="eastAsia" w:ascii="楷体" w:hAnsi="楷体" w:eastAsia="楷体"/>
                <w:color w:val="0C0C0C" w:themeColor="text1" w:themeTint="F2"/>
                <w:sz w:val="24"/>
                <w:szCs w:val="24"/>
              </w:rPr>
              <w:t>人才培养</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邓德智</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14:30—17:00 </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研学：重拾记忆，游走天下，学海无涯</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于延俊</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811" w:hRule="atLeast"/>
        </w:trPr>
        <w:tc>
          <w:tcPr>
            <w:tcW w:w="1153" w:type="dxa"/>
            <w:vMerge w:val="restart"/>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月9日</w:t>
            </w: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09:00—11:30 </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现场教学3：</w:t>
            </w:r>
            <w:r>
              <w:rPr>
                <w:rFonts w:hint="eastAsia" w:ascii="楷体" w:hAnsi="楷体" w:eastAsia="楷体"/>
                <w:color w:val="0C0C0C" w:themeColor="text1" w:themeTint="F2"/>
                <w:sz w:val="24"/>
                <w:szCs w:val="24"/>
              </w:rPr>
              <w:t>现代农业旅游导游</w:t>
            </w:r>
            <w:r>
              <w:rPr>
                <w:rFonts w:ascii="楷体" w:hAnsi="楷体" w:eastAsia="楷体"/>
                <w:color w:val="0C0C0C" w:themeColor="text1" w:themeTint="F2"/>
                <w:sz w:val="24"/>
                <w:szCs w:val="24"/>
              </w:rPr>
              <w:t>人才的</w:t>
            </w:r>
            <w:r>
              <w:rPr>
                <w:rFonts w:hint="eastAsia" w:ascii="楷体" w:hAnsi="楷体" w:eastAsia="楷体"/>
                <w:color w:val="0C0C0C" w:themeColor="text1" w:themeTint="F2"/>
                <w:sz w:val="24"/>
                <w:szCs w:val="24"/>
              </w:rPr>
              <w:t>培养</w:t>
            </w:r>
            <w:r>
              <w:rPr>
                <w:rFonts w:ascii="楷体" w:hAnsi="楷体" w:eastAsia="楷体"/>
                <w:color w:val="0C0C0C" w:themeColor="text1" w:themeTint="F2"/>
                <w:sz w:val="24"/>
                <w:szCs w:val="24"/>
              </w:rPr>
              <w:t>模式</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杨  栋</w:t>
            </w: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崂山二月河农场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continue"/>
            <w:vAlign w:val="center"/>
          </w:tcPr>
          <w:p>
            <w:pPr>
              <w:spacing w:after="160"/>
              <w:rPr>
                <w:rFonts w:ascii="楷体" w:hAnsi="楷体" w:eastAsia="楷体"/>
                <w:color w:val="0C0C0C" w:themeColor="text1" w:themeTint="F2"/>
                <w:sz w:val="24"/>
                <w:szCs w:val="24"/>
              </w:rPr>
            </w:pPr>
          </w:p>
        </w:tc>
        <w:tc>
          <w:tcPr>
            <w:tcW w:w="1695" w:type="dxa"/>
            <w:vAlign w:val="center"/>
          </w:tcPr>
          <w:p>
            <w:pPr>
              <w:ind w:left="88"/>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14:30—20:00 </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现场教学4：</w:t>
            </w:r>
            <w:r>
              <w:rPr>
                <w:rFonts w:hint="eastAsia" w:ascii="楷体" w:hAnsi="楷体" w:eastAsia="楷体"/>
                <w:color w:val="0C0C0C" w:themeColor="text1" w:themeTint="F2"/>
                <w:sz w:val="24"/>
                <w:szCs w:val="24"/>
              </w:rPr>
              <w:t>滨海山岳</w:t>
            </w:r>
            <w:r>
              <w:rPr>
                <w:rFonts w:ascii="楷体" w:hAnsi="楷体" w:eastAsia="楷体"/>
                <w:color w:val="0C0C0C" w:themeColor="text1" w:themeTint="F2"/>
                <w:sz w:val="24"/>
                <w:szCs w:val="24"/>
              </w:rPr>
              <w:t>旅游目的地</w:t>
            </w:r>
            <w:r>
              <w:rPr>
                <w:rFonts w:hint="eastAsia" w:ascii="楷体" w:hAnsi="楷体" w:eastAsia="楷体"/>
                <w:color w:val="0C0C0C" w:themeColor="text1" w:themeTint="F2"/>
                <w:sz w:val="24"/>
                <w:szCs w:val="24"/>
              </w:rPr>
              <w:t>导游</w:t>
            </w:r>
            <w:r>
              <w:rPr>
                <w:rFonts w:ascii="楷体" w:hAnsi="楷体" w:eastAsia="楷体"/>
                <w:color w:val="0C0C0C" w:themeColor="text1" w:themeTint="F2"/>
                <w:sz w:val="24"/>
                <w:szCs w:val="24"/>
              </w:rPr>
              <w:t>人才支撑战略</w:t>
            </w:r>
            <w:r>
              <w:rPr>
                <w:rFonts w:hint="eastAsia" w:ascii="楷体" w:hAnsi="楷体" w:eastAsia="楷体"/>
                <w:color w:val="0C0C0C" w:themeColor="text1" w:themeTint="F2"/>
                <w:sz w:val="24"/>
                <w:szCs w:val="24"/>
              </w:rPr>
              <w:t>及实施</w:t>
            </w:r>
          </w:p>
        </w:tc>
        <w:tc>
          <w:tcPr>
            <w:tcW w:w="870"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康传德</w:t>
            </w:r>
          </w:p>
        </w:tc>
        <w:tc>
          <w:tcPr>
            <w:tcW w:w="1568" w:type="dxa"/>
            <w:vAlign w:val="center"/>
          </w:tcPr>
          <w:p>
            <w:pPr>
              <w:jc w:val="left"/>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崂山南线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restart"/>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月10日</w:t>
            </w:r>
          </w:p>
        </w:tc>
        <w:tc>
          <w:tcPr>
            <w:tcW w:w="1695" w:type="dxa"/>
            <w:vAlign w:val="center"/>
          </w:tcPr>
          <w:p>
            <w:pPr>
              <w:ind w:left="32"/>
              <w:rPr>
                <w:rFonts w:ascii="楷体" w:hAnsi="楷体" w:eastAsia="楷体"/>
                <w:color w:val="0C0C0C" w:themeColor="text1" w:themeTint="F2"/>
                <w:sz w:val="24"/>
                <w:szCs w:val="24"/>
              </w:rPr>
            </w:pPr>
            <w:r>
              <w:rPr>
                <w:rFonts w:ascii="楷体" w:hAnsi="楷体" w:eastAsia="楷体"/>
                <w:color w:val="0C0C0C" w:themeColor="text1" w:themeTint="F2"/>
                <w:sz w:val="24"/>
                <w:szCs w:val="24"/>
              </w:rPr>
              <w:t>09:00—11:30</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旅游与文化——如何成为旅游文化专家型导游员</w:t>
            </w:r>
          </w:p>
        </w:tc>
        <w:tc>
          <w:tcPr>
            <w:tcW w:w="870" w:type="dxa"/>
            <w:vAlign w:val="center"/>
          </w:tcPr>
          <w:p>
            <w:pPr>
              <w:ind w:left="12"/>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吕</w:t>
            </w:r>
            <w:r>
              <w:rPr>
                <w:rFonts w:ascii="楷体" w:hAnsi="楷体" w:eastAsia="楷体"/>
                <w:color w:val="0C0C0C" w:themeColor="text1" w:themeTint="F2"/>
                <w:sz w:val="24"/>
                <w:szCs w:val="24"/>
              </w:rPr>
              <w:t>龙根</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Merge w:val="continue"/>
            <w:vAlign w:val="center"/>
          </w:tcPr>
          <w:p>
            <w:pPr>
              <w:ind w:left="48"/>
              <w:rPr>
                <w:rFonts w:ascii="楷体" w:hAnsi="楷体" w:eastAsia="楷体"/>
                <w:color w:val="0C0C0C" w:themeColor="text1" w:themeTint="F2"/>
                <w:sz w:val="24"/>
                <w:szCs w:val="24"/>
              </w:rPr>
            </w:pPr>
          </w:p>
        </w:tc>
        <w:tc>
          <w:tcPr>
            <w:tcW w:w="1695" w:type="dxa"/>
            <w:vAlign w:val="center"/>
          </w:tcPr>
          <w:p>
            <w:pPr>
              <w:ind w:left="32"/>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13:30-</w:t>
            </w:r>
            <w:r>
              <w:rPr>
                <w:rFonts w:ascii="楷体" w:hAnsi="楷体" w:eastAsia="楷体"/>
                <w:color w:val="0C0C0C" w:themeColor="text1" w:themeTint="F2"/>
                <w:sz w:val="24"/>
                <w:szCs w:val="24"/>
              </w:rPr>
              <w:t>17:30</w:t>
            </w:r>
          </w:p>
        </w:tc>
        <w:tc>
          <w:tcPr>
            <w:tcW w:w="3108" w:type="dxa"/>
            <w:vAlign w:val="center"/>
          </w:tcPr>
          <w:p>
            <w:pPr>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沙龙-</w:t>
            </w:r>
            <w:r>
              <w:rPr>
                <w:rFonts w:ascii="楷体" w:hAnsi="楷体" w:eastAsia="楷体"/>
                <w:color w:val="0C0C0C" w:themeColor="text1" w:themeTint="F2"/>
                <w:sz w:val="24"/>
                <w:szCs w:val="24"/>
              </w:rPr>
              <w:t>学员教学经验分享</w:t>
            </w:r>
          </w:p>
        </w:tc>
        <w:tc>
          <w:tcPr>
            <w:tcW w:w="870" w:type="dxa"/>
            <w:vAlign w:val="center"/>
          </w:tcPr>
          <w:p>
            <w:pPr>
              <w:ind w:left="12"/>
              <w:rPr>
                <w:rFonts w:ascii="楷体" w:hAnsi="楷体" w:eastAsia="楷体"/>
                <w:color w:val="0C0C0C" w:themeColor="text1" w:themeTint="F2"/>
                <w:sz w:val="24"/>
                <w:szCs w:val="24"/>
              </w:rPr>
            </w:pPr>
            <w:r>
              <w:rPr>
                <w:rFonts w:hint="eastAsia" w:ascii="楷体" w:hAnsi="楷体" w:eastAsia="楷体"/>
                <w:color w:val="0C0C0C" w:themeColor="text1" w:themeTint="F2"/>
                <w:sz w:val="24"/>
                <w:szCs w:val="24"/>
              </w:rPr>
              <w:t>石媚山</w:t>
            </w:r>
          </w:p>
        </w:tc>
        <w:tc>
          <w:tcPr>
            <w:tcW w:w="1568" w:type="dxa"/>
          </w:tcPr>
          <w:p>
            <w:pPr>
              <w:rPr>
                <w:color w:val="0C0C0C" w:themeColor="text1" w:themeTint="F2"/>
              </w:rPr>
            </w:pPr>
            <w:r>
              <w:rPr>
                <w:rFonts w:hint="eastAsia" w:ascii="楷体" w:hAnsi="楷体" w:eastAsia="楷体"/>
                <w:color w:val="0C0C0C" w:themeColor="text1" w:themeTint="F2"/>
                <w:sz w:val="24"/>
                <w:szCs w:val="24"/>
              </w:rPr>
              <w:t>青岛融海世园酒店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0" w:type="dxa"/>
            <w:left w:w="116" w:type="dxa"/>
            <w:bottom w:w="0" w:type="dxa"/>
            <w:right w:w="0" w:type="dxa"/>
          </w:tblCellMar>
        </w:tblPrEx>
        <w:trPr>
          <w:trHeight w:val="743" w:hRule="atLeast"/>
        </w:trPr>
        <w:tc>
          <w:tcPr>
            <w:tcW w:w="1153" w:type="dxa"/>
            <w:vAlign w:val="center"/>
          </w:tcPr>
          <w:p>
            <w:pPr>
              <w:ind w:left="48"/>
              <w:rPr>
                <w:rFonts w:ascii="楷体" w:hAnsi="楷体" w:eastAsia="楷体"/>
                <w:color w:val="0C0C0C" w:themeColor="text1" w:themeTint="F2"/>
                <w:sz w:val="24"/>
                <w:szCs w:val="24"/>
              </w:rPr>
            </w:pPr>
            <w:r>
              <w:rPr>
                <w:rFonts w:ascii="楷体" w:hAnsi="楷体" w:eastAsia="楷体"/>
                <w:color w:val="0C0C0C" w:themeColor="text1" w:themeTint="F2"/>
                <w:sz w:val="24"/>
                <w:szCs w:val="24"/>
              </w:rPr>
              <w:t>8</w:t>
            </w:r>
            <w:r>
              <w:rPr>
                <w:rFonts w:hint="eastAsia" w:ascii="楷体" w:hAnsi="楷体" w:eastAsia="楷体"/>
                <w:color w:val="0C0C0C" w:themeColor="text1" w:themeTint="F2"/>
                <w:sz w:val="24"/>
                <w:szCs w:val="24"/>
              </w:rPr>
              <w:t>月11日</w:t>
            </w:r>
          </w:p>
        </w:tc>
        <w:tc>
          <w:tcPr>
            <w:tcW w:w="1695" w:type="dxa"/>
            <w:vAlign w:val="center"/>
          </w:tcPr>
          <w:p>
            <w:pPr>
              <w:ind w:left="32"/>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中午12：00前 </w:t>
            </w:r>
          </w:p>
        </w:tc>
        <w:tc>
          <w:tcPr>
            <w:tcW w:w="3108" w:type="dxa"/>
            <w:vAlign w:val="center"/>
          </w:tcPr>
          <w:p>
            <w:pPr>
              <w:rPr>
                <w:rFonts w:ascii="楷体" w:hAnsi="楷体" w:eastAsia="楷体"/>
                <w:color w:val="0C0C0C" w:themeColor="text1" w:themeTint="F2"/>
                <w:sz w:val="24"/>
                <w:szCs w:val="24"/>
              </w:rPr>
            </w:pPr>
            <w:r>
              <w:rPr>
                <w:rFonts w:ascii="楷体" w:hAnsi="楷体" w:eastAsia="楷体"/>
                <w:color w:val="0C0C0C" w:themeColor="text1" w:themeTint="F2"/>
                <w:sz w:val="24"/>
                <w:szCs w:val="24"/>
              </w:rPr>
              <w:t xml:space="preserve">学员退宿/返程 </w:t>
            </w:r>
          </w:p>
        </w:tc>
        <w:tc>
          <w:tcPr>
            <w:tcW w:w="870" w:type="dxa"/>
            <w:vAlign w:val="center"/>
          </w:tcPr>
          <w:p>
            <w:pPr>
              <w:ind w:left="12"/>
              <w:jc w:val="center"/>
              <w:rPr>
                <w:rFonts w:ascii="楷体" w:hAnsi="楷体" w:eastAsia="楷体"/>
                <w:color w:val="0C0C0C" w:themeColor="text1" w:themeTint="F2"/>
                <w:sz w:val="24"/>
                <w:szCs w:val="24"/>
              </w:rPr>
            </w:pPr>
          </w:p>
        </w:tc>
        <w:tc>
          <w:tcPr>
            <w:tcW w:w="1568" w:type="dxa"/>
            <w:vAlign w:val="center"/>
          </w:tcPr>
          <w:p>
            <w:pPr>
              <w:ind w:left="21"/>
              <w:jc w:val="left"/>
              <w:rPr>
                <w:rFonts w:ascii="楷体" w:hAnsi="楷体" w:eastAsia="楷体"/>
                <w:color w:val="0C0C0C" w:themeColor="text1" w:themeTint="F2"/>
                <w:sz w:val="24"/>
                <w:szCs w:val="24"/>
              </w:rPr>
            </w:pPr>
          </w:p>
        </w:tc>
      </w:tr>
    </w:tbl>
    <w:p>
      <w:pPr>
        <w:rPr>
          <w:rFonts w:ascii="黑体" w:hAnsi="黑体" w:eastAsia="黑体"/>
          <w:color w:val="0C0C0C" w:themeColor="text1" w:themeTint="F2"/>
          <w:sz w:val="28"/>
          <w:szCs w:val="28"/>
        </w:rPr>
      </w:pP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四、师资介绍</w:t>
      </w:r>
    </w:p>
    <w:p>
      <w:pPr>
        <w:ind w:firstLine="562" w:firstLineChars="200"/>
        <w:rPr>
          <w:rFonts w:ascii="仿宋" w:hAnsi="仿宋" w:eastAsia="仿宋"/>
          <w:b/>
          <w:color w:val="0C0C0C" w:themeColor="text1" w:themeTint="F2"/>
          <w:sz w:val="28"/>
          <w:szCs w:val="28"/>
        </w:rPr>
      </w:pPr>
      <w:r>
        <w:rPr>
          <w:rFonts w:hint="eastAsia" w:ascii="仿宋" w:hAnsi="仿宋" w:eastAsia="仿宋"/>
          <w:b/>
          <w:color w:val="0C0C0C" w:themeColor="text1" w:themeTint="F2"/>
          <w:sz w:val="28"/>
          <w:szCs w:val="28"/>
        </w:rPr>
        <w:t>顾问</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刘莉莉 中国旅游协会旅游教育分会秘书长</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李  达 青岛酒店管理职业技术学院</w:t>
      </w:r>
      <w:r>
        <w:rPr>
          <w:rFonts w:ascii="仿宋" w:hAnsi="仿宋" w:eastAsia="仿宋"/>
          <w:color w:val="0C0C0C" w:themeColor="text1" w:themeTint="F2"/>
          <w:sz w:val="28"/>
          <w:szCs w:val="28"/>
        </w:rPr>
        <w:t>党委书记</w:t>
      </w:r>
    </w:p>
    <w:p>
      <w:pPr>
        <w:ind w:firstLine="560" w:firstLineChars="200"/>
        <w:jc w:val="left"/>
        <w:rPr>
          <w:rFonts w:hint="eastAsia" w:ascii="仿宋" w:hAnsi="仿宋" w:eastAsia="仿宋"/>
          <w:color w:val="0C0C0C" w:themeColor="text1" w:themeTint="F2"/>
          <w:sz w:val="28"/>
          <w:szCs w:val="28"/>
        </w:rPr>
      </w:pPr>
      <w:r>
        <w:rPr>
          <w:rFonts w:hint="eastAsia" w:ascii="仿宋" w:hAnsi="仿宋" w:eastAsia="仿宋"/>
          <w:color w:val="0C0C0C" w:themeColor="text1" w:themeTint="F2"/>
          <w:sz w:val="28"/>
          <w:szCs w:val="28"/>
        </w:rPr>
        <w:t>姜玉鹏 青岛酒店管理职业技术学院</w:t>
      </w:r>
      <w:r>
        <w:rPr>
          <w:rFonts w:ascii="仿宋" w:hAnsi="仿宋" w:eastAsia="仿宋"/>
          <w:color w:val="0C0C0C" w:themeColor="text1" w:themeTint="F2"/>
          <w:sz w:val="28"/>
          <w:szCs w:val="28"/>
        </w:rPr>
        <w:t>院长、中国旅游协会旅游教育分会副会长</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王建宝 青岛酒店管理职业技术学院副院长</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刁洪斌 青岛酒店管理职业技术学院副院长兼旅游与酒店管理学院院长</w:t>
      </w:r>
    </w:p>
    <w:p>
      <w:pPr>
        <w:ind w:firstLine="562" w:firstLineChars="200"/>
        <w:rPr>
          <w:rFonts w:ascii="仿宋" w:hAnsi="仿宋" w:eastAsia="仿宋"/>
          <w:b/>
          <w:color w:val="0C0C0C" w:themeColor="text1" w:themeTint="F2"/>
          <w:sz w:val="28"/>
          <w:szCs w:val="28"/>
        </w:rPr>
      </w:pPr>
      <w:r>
        <w:rPr>
          <w:rFonts w:hint="eastAsia" w:ascii="仿宋" w:hAnsi="仿宋" w:eastAsia="仿宋"/>
          <w:b/>
          <w:color w:val="0C0C0C" w:themeColor="text1" w:themeTint="F2"/>
          <w:sz w:val="28"/>
          <w:szCs w:val="28"/>
        </w:rPr>
        <w:t>师资（按授课顺序排列）</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熊剑平 湖北大学中国旅游案例教学与研究中心主任、教授、</w:t>
      </w:r>
      <w:r>
        <w:rPr>
          <w:rFonts w:ascii="仿宋" w:hAnsi="仿宋" w:eastAsia="仿宋"/>
          <w:color w:val="0C0C0C" w:themeColor="text1" w:themeTint="F2"/>
          <w:sz w:val="28"/>
          <w:szCs w:val="28"/>
        </w:rPr>
        <w:t>博士生导师</w:t>
      </w:r>
      <w:r>
        <w:rPr>
          <w:rFonts w:hint="eastAsia" w:ascii="仿宋" w:hAnsi="仿宋" w:eastAsia="仿宋"/>
          <w:color w:val="0C0C0C" w:themeColor="text1" w:themeTint="F2"/>
          <w:sz w:val="28"/>
          <w:szCs w:val="28"/>
        </w:rPr>
        <w:t>、著名导游学专家</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石媚山 青岛酒店管理职业技术学院</w:t>
      </w:r>
      <w:r>
        <w:rPr>
          <w:rFonts w:ascii="仿宋" w:hAnsi="仿宋" w:eastAsia="仿宋"/>
          <w:color w:val="0C0C0C" w:themeColor="text1" w:themeTint="F2"/>
          <w:sz w:val="28"/>
          <w:szCs w:val="28"/>
        </w:rPr>
        <w:t>旅游与酒店管理学院</w:t>
      </w:r>
      <w:r>
        <w:rPr>
          <w:rFonts w:hint="eastAsia" w:ascii="仿宋" w:hAnsi="仿宋" w:eastAsia="仿宋"/>
          <w:color w:val="0C0C0C" w:themeColor="text1" w:themeTint="F2"/>
          <w:sz w:val="28"/>
          <w:szCs w:val="28"/>
        </w:rPr>
        <w:t>副院长</w:t>
      </w:r>
      <w:r>
        <w:rPr>
          <w:rFonts w:ascii="仿宋" w:hAnsi="仿宋" w:eastAsia="仿宋"/>
          <w:color w:val="0C0C0C" w:themeColor="text1" w:themeTint="F2"/>
          <w:sz w:val="28"/>
          <w:szCs w:val="28"/>
        </w:rPr>
        <w:t>、山东省青年技能名师、青岛市教学名师</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孙树伟 全国首批模范导游员</w:t>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高级导游，山东省导游协会副会长、青岛中之旅</w:t>
      </w:r>
      <w:r>
        <w:rPr>
          <w:rFonts w:ascii="仿宋" w:hAnsi="仿宋" w:eastAsia="仿宋"/>
          <w:color w:val="0C0C0C" w:themeColor="text1" w:themeTint="F2"/>
          <w:sz w:val="28"/>
          <w:szCs w:val="28"/>
        </w:rPr>
        <w:t>国际旅行社总经理</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李志军 国家</w:t>
      </w:r>
      <w:r>
        <w:rPr>
          <w:rFonts w:ascii="仿宋" w:hAnsi="仿宋" w:eastAsia="仿宋"/>
          <w:color w:val="0C0C0C" w:themeColor="text1" w:themeTint="F2"/>
          <w:sz w:val="28"/>
          <w:szCs w:val="28"/>
        </w:rPr>
        <w:t>特级导游</w:t>
      </w:r>
      <w:r>
        <w:rPr>
          <w:rFonts w:hint="eastAsia" w:ascii="仿宋" w:hAnsi="仿宋" w:eastAsia="仿宋"/>
          <w:color w:val="0C0C0C" w:themeColor="text1" w:themeTint="F2"/>
          <w:sz w:val="28"/>
          <w:szCs w:val="28"/>
        </w:rPr>
        <w:t>、上海师范大学旅游学院特聘兼职教授、知名导游实战培训专家</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邓德智 浙江旅游职业学院</w:t>
      </w:r>
      <w:r>
        <w:rPr>
          <w:rFonts w:ascii="仿宋" w:hAnsi="仿宋" w:eastAsia="仿宋"/>
          <w:color w:val="0C0C0C" w:themeColor="text1" w:themeTint="F2"/>
          <w:sz w:val="28"/>
          <w:szCs w:val="28"/>
        </w:rPr>
        <w:t>教授、</w:t>
      </w:r>
      <w:r>
        <w:rPr>
          <w:rFonts w:hint="eastAsia" w:ascii="仿宋" w:hAnsi="仿宋" w:eastAsia="仿宋"/>
          <w:color w:val="0C0C0C" w:themeColor="text1" w:themeTint="F2"/>
          <w:sz w:val="28"/>
          <w:szCs w:val="28"/>
        </w:rPr>
        <w:t>国家旅游局首批旅游业青年专家</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于延俊 中国博物馆协会纪念馆专业委员会秘书长、中国人民抗日战争纪念馆原党组成员、副馆长、文博研究员。</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吕龙根 北京第二外国语学院</w:t>
      </w:r>
      <w:r>
        <w:rPr>
          <w:rFonts w:ascii="仿宋" w:hAnsi="仿宋" w:eastAsia="仿宋"/>
          <w:color w:val="0C0C0C" w:themeColor="text1" w:themeTint="F2"/>
          <w:sz w:val="28"/>
          <w:szCs w:val="28"/>
        </w:rPr>
        <w:t>教授、</w:t>
      </w:r>
      <w:r>
        <w:rPr>
          <w:rFonts w:hint="eastAsia" w:ascii="仿宋" w:hAnsi="仿宋" w:eastAsia="仿宋"/>
          <w:color w:val="0C0C0C" w:themeColor="text1" w:themeTint="F2"/>
          <w:sz w:val="28"/>
          <w:szCs w:val="28"/>
        </w:rPr>
        <w:t>文化专家，国家旅游局第一届导游考评委员会委员、全国导游大赛评委，著名导游大师</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朱丽男 青岛酒店管理职业技术学院旅游管理专业教研室主任</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杨  栋 青岛酒店管理职业技术学院</w:t>
      </w:r>
      <w:r>
        <w:rPr>
          <w:rFonts w:ascii="仿宋" w:hAnsi="仿宋" w:eastAsia="仿宋"/>
          <w:color w:val="0C0C0C" w:themeColor="text1" w:themeTint="F2"/>
          <w:sz w:val="28"/>
          <w:szCs w:val="28"/>
        </w:rPr>
        <w:t>旅游管理</w:t>
      </w:r>
      <w:r>
        <w:rPr>
          <w:rFonts w:hint="eastAsia" w:ascii="仿宋" w:hAnsi="仿宋" w:eastAsia="仿宋"/>
          <w:color w:val="0C0C0C" w:themeColor="text1" w:themeTint="F2"/>
          <w:sz w:val="28"/>
          <w:szCs w:val="28"/>
        </w:rPr>
        <w:t>管理研究所所长</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田  超 青岛酒店管理职业技术学院</w:t>
      </w:r>
      <w:r>
        <w:rPr>
          <w:rFonts w:ascii="仿宋" w:hAnsi="仿宋" w:eastAsia="仿宋"/>
          <w:color w:val="0C0C0C" w:themeColor="text1" w:themeTint="F2"/>
          <w:sz w:val="28"/>
          <w:szCs w:val="28"/>
        </w:rPr>
        <w:t>旅游管理专业教师</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康传德 青岛酒店管理职业技术学院</w:t>
      </w:r>
      <w:r>
        <w:rPr>
          <w:rFonts w:ascii="仿宋" w:hAnsi="仿宋" w:eastAsia="仿宋"/>
          <w:color w:val="0C0C0C" w:themeColor="text1" w:themeTint="F2"/>
          <w:sz w:val="28"/>
          <w:szCs w:val="28"/>
        </w:rPr>
        <w:t>旅游管理专业教师</w:t>
      </w: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五、专家简介</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▲熊剑平——湖北大学中国旅游案例教学与研究中心主任、教授、博士生导师，《导游学》精品课程负责人，武汉骄楚规划设计院院长。出版《导游学：理论</w:t>
      </w:r>
      <w:r>
        <w:rPr>
          <w:rFonts w:hint="eastAsia" w:ascii="微软雅黑" w:hAnsi="微软雅黑" w:eastAsia="微软雅黑" w:cs="微软雅黑"/>
          <w:color w:val="0C0C0C" w:themeColor="text1" w:themeTint="F2"/>
          <w:sz w:val="28"/>
          <w:szCs w:val="28"/>
        </w:rPr>
        <w:t>•</w:t>
      </w:r>
      <w:r>
        <w:rPr>
          <w:rFonts w:hint="eastAsia" w:ascii="仿宋" w:hAnsi="仿宋" w:eastAsia="仿宋" w:cs="仿宋"/>
          <w:color w:val="0C0C0C" w:themeColor="text1" w:themeTint="F2"/>
          <w:sz w:val="28"/>
          <w:szCs w:val="28"/>
        </w:rPr>
        <w:t>方法</w:t>
      </w:r>
      <w:r>
        <w:rPr>
          <w:rFonts w:hint="eastAsia" w:ascii="微软雅黑" w:hAnsi="微软雅黑" w:eastAsia="微软雅黑" w:cs="微软雅黑"/>
          <w:color w:val="0C0C0C" w:themeColor="text1" w:themeTint="F2"/>
          <w:sz w:val="28"/>
          <w:szCs w:val="28"/>
        </w:rPr>
        <w:t>•</w:t>
      </w:r>
      <w:r>
        <w:rPr>
          <w:rFonts w:hint="eastAsia" w:ascii="仿宋" w:hAnsi="仿宋" w:eastAsia="仿宋" w:cs="仿宋"/>
          <w:color w:val="0C0C0C" w:themeColor="text1" w:themeTint="F2"/>
          <w:sz w:val="28"/>
          <w:szCs w:val="28"/>
        </w:rPr>
        <w:t>实践》《成功导游素质与修炼》《导游理论与实务》等学术著作和教材</w:t>
      </w:r>
      <w:r>
        <w:rPr>
          <w:rFonts w:hint="eastAsia" w:ascii="仿宋" w:hAnsi="仿宋" w:eastAsia="仿宋"/>
          <w:color w:val="0C0C0C" w:themeColor="text1" w:themeTint="F2"/>
          <w:sz w:val="28"/>
          <w:szCs w:val="28"/>
        </w:rPr>
        <w:t>21部，主持完成国家社科基金项目以及《新形势下导游服务管理模式研究》等旅游研究项目105项，在国内外权威和核心期刊上发表专业学术论文40余篇，先后获湖北省和武汉市社会科学优秀成果奖，2013年被评为湖北旅游十大先进人物。 先后担任文化和旅游部旅游科研立项评审专家，全国“万名旅游英才计划”评审专家，全国导游大赛决赛评委组长，中国历史文化名楼讲解员大赛总裁判长，全国职业院校技能大赛导游服务赛项总裁判长，湖北省旅游发展决策咨询专家，湖北省旅行社等级评定专家组组长，湖北省导游名师和金牌导游评审专家组组长。国内20余所旅游院校客座教授。</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▲孙树伟——青岛中之旅</w:t>
      </w:r>
      <w:r>
        <w:rPr>
          <w:rFonts w:ascii="仿宋" w:hAnsi="仿宋" w:eastAsia="仿宋"/>
          <w:color w:val="0C0C0C" w:themeColor="text1" w:themeTint="F2"/>
          <w:sz w:val="28"/>
          <w:szCs w:val="28"/>
        </w:rPr>
        <w:t>国际旅行社总经理</w:t>
      </w:r>
      <w:r>
        <w:rPr>
          <w:rFonts w:hint="eastAsia" w:ascii="仿宋" w:hAnsi="仿宋" w:eastAsia="仿宋"/>
          <w:color w:val="0C0C0C" w:themeColor="text1" w:themeTint="F2"/>
          <w:sz w:val="28"/>
          <w:szCs w:val="28"/>
        </w:rPr>
        <w:t>，</w:t>
      </w:r>
      <w:r>
        <w:rPr>
          <w:rFonts w:ascii="仿宋" w:hAnsi="仿宋" w:eastAsia="仿宋"/>
          <w:color w:val="0C0C0C" w:themeColor="text1" w:themeTint="F2"/>
          <w:sz w:val="28"/>
          <w:szCs w:val="28"/>
        </w:rPr>
        <w:t>从事导游工作三十年，首批国家高级导游员、受到时任国务院副总理吴仪亲切接见的十一位全国模范导游员、王岐山副总理倡导的“全国名导进课堂工程”国家师资库首批成员、国家旅游局技术技能大师、“楚天技能名师”、青岛旅游智库专家</w:t>
      </w:r>
      <w:r>
        <w:rPr>
          <w:rFonts w:hint="eastAsia" w:ascii="仿宋" w:hAnsi="仿宋" w:eastAsia="仿宋"/>
          <w:color w:val="0C0C0C" w:themeColor="text1" w:themeTint="F2"/>
          <w:sz w:val="28"/>
          <w:szCs w:val="28"/>
        </w:rPr>
        <w:t>、山东省导游协会副会长</w:t>
      </w:r>
      <w:r>
        <w:rPr>
          <w:rFonts w:ascii="仿宋" w:hAnsi="仿宋" w:eastAsia="仿宋"/>
          <w:color w:val="0C0C0C" w:themeColor="text1" w:themeTint="F2"/>
          <w:sz w:val="28"/>
          <w:szCs w:val="28"/>
        </w:rPr>
        <w:t>；“青岛旅游领军人物”、青岛市市南区拔尖人才、山东省教育厅特聘“产业教授”；山东省五一劳动奖章获得者。</w:t>
      </w:r>
      <w:r>
        <w:rPr>
          <w:rFonts w:hint="eastAsia" w:ascii="仿宋" w:hAnsi="仿宋" w:eastAsia="仿宋"/>
          <w:color w:val="0C0C0C" w:themeColor="text1" w:themeTint="F2"/>
          <w:sz w:val="28"/>
          <w:szCs w:val="28"/>
        </w:rPr>
        <w:t>国家导游大师工作室负责人、国内多所本专科院校客座教授，多次担任全国职业院校技能大赛评审专家。酷爱烹饪，曾获青岛民间大赛冠军，荣获青岛民间厨神称号，东方卫视《顶级厨师》全国二十强。</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▲李志军</w:t>
      </w:r>
      <w:r>
        <w:rPr>
          <w:rFonts w:ascii="仿宋" w:hAnsi="仿宋" w:eastAsia="仿宋"/>
          <w:color w:val="0C0C0C" w:themeColor="text1" w:themeTint="F2"/>
          <w:sz w:val="28"/>
          <w:szCs w:val="28"/>
        </w:rPr>
        <w:softHyphen/>
      </w:r>
      <w:r>
        <w:rPr>
          <w:rFonts w:ascii="仿宋" w:hAnsi="仿宋" w:eastAsia="仿宋"/>
          <w:color w:val="0C0C0C" w:themeColor="text1" w:themeTint="F2"/>
          <w:sz w:val="28"/>
          <w:szCs w:val="28"/>
        </w:rPr>
        <w:softHyphen/>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国家特级导游，长期坚持带团实践。上海师范大学旅游学院特聘兼职教授。原国家旅游局“名导进课堂”工程讲师、师资选拔评委。多次受邀赴新加坡及全国各地授课。参编《现场导游》、《景区导游》、《导游讲解》、《全国导游基础知识》等，为澳大利亚培训机构编写《澳大利亚欢迎中国游客》培训教材。参与2010年上海世博会园区游览设计。多次担任上海市及各地导游大赛评委，2017年山东省导游大赛裁判长。获国家旅游局“全国导游人员等级考评工作先进个人奖”。</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▲邓德智</w:t>
      </w:r>
      <w:r>
        <w:rPr>
          <w:rFonts w:ascii="仿宋" w:hAnsi="仿宋" w:eastAsia="仿宋"/>
          <w:color w:val="0C0C0C" w:themeColor="text1" w:themeTint="F2"/>
          <w:sz w:val="28"/>
          <w:szCs w:val="28"/>
        </w:rPr>
        <w:softHyphen/>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浙江旅游职业学院</w:t>
      </w:r>
      <w:r>
        <w:rPr>
          <w:rFonts w:ascii="仿宋" w:hAnsi="仿宋" w:eastAsia="仿宋"/>
          <w:color w:val="0C0C0C" w:themeColor="text1" w:themeTint="F2"/>
          <w:sz w:val="28"/>
          <w:szCs w:val="28"/>
        </w:rPr>
        <w:t>教授、</w:t>
      </w:r>
      <w:r>
        <w:rPr>
          <w:rFonts w:hint="eastAsia" w:ascii="仿宋" w:hAnsi="仿宋" w:eastAsia="仿宋"/>
          <w:color w:val="0C0C0C" w:themeColor="text1" w:themeTint="F2"/>
          <w:sz w:val="28"/>
          <w:szCs w:val="28"/>
        </w:rPr>
        <w:t>国家旅游局首批旅游业青年专家。入选浙江省高职高专专业带头人和国家旅游局首批旅游业青年专家培养对象。教育部全国高校教师网络培训中心特聘专家，浙江省旅行社等级评定委员，浙江省政府采购评标专家，全国导游资格证书考试评委，旅游服务类专业教学标准制定组专家。多次担任全国导游服务技能大赛评委。曾担任绍兴旅游集团总裁助理、绍兴文物局局长助理、浙江旅苑旅行社董事长。</w:t>
      </w:r>
    </w:p>
    <w:p>
      <w:pPr>
        <w:ind w:firstLine="420" w:firstLineChars="200"/>
        <w:jc w:val="left"/>
        <w:rPr>
          <w:rFonts w:ascii="仿宋" w:hAnsi="仿宋" w:eastAsia="仿宋"/>
          <w:color w:val="0C0C0C" w:themeColor="text1" w:themeTint="F2"/>
          <w:sz w:val="28"/>
          <w:szCs w:val="28"/>
        </w:rPr>
      </w:pPr>
      <w:r>
        <w:rPr>
          <w:rFonts w:hint="eastAsia" w:ascii="宋体" w:hAnsi="宋体" w:eastAsia="宋体" w:cs="宋体"/>
          <w:color w:val="0C0C0C" w:themeColor="text1" w:themeTint="F2"/>
        </w:rPr>
        <w:t>▲</w:t>
      </w:r>
      <w:r>
        <w:rPr>
          <w:rFonts w:hint="eastAsia" w:ascii="仿宋" w:hAnsi="仿宋" w:eastAsia="仿宋"/>
          <w:color w:val="0C0C0C" w:themeColor="text1" w:themeTint="F2"/>
          <w:sz w:val="28"/>
          <w:szCs w:val="28"/>
        </w:rPr>
        <w:t xml:space="preserve">于延俊——中国博物馆协会纪念馆专业委员会秘书长、中国人民抗日战争纪念馆原党组成员、副馆长、文博研究员。全国讲解员、导游员大赛资深专家评委、策划和筹备负责人，全国红办、国家文物局、国家旅游局专家库专家，全国博物馆纪念馆管理业务培训导师和教材编写者，讲解员职业技能等级标准制定人之一，北京、延安等多个国家级展览项目的策划和编辑工作，为新时期国家博物馆纪念馆事业的发展，做出了突出贡献。 </w:t>
      </w:r>
    </w:p>
    <w:p>
      <w:pPr>
        <w:ind w:firstLine="420" w:firstLineChars="200"/>
        <w:jc w:val="left"/>
        <w:rPr>
          <w:rFonts w:ascii="仿宋" w:hAnsi="仿宋" w:eastAsia="仿宋"/>
          <w:color w:val="0C0C0C" w:themeColor="text1" w:themeTint="F2"/>
          <w:sz w:val="28"/>
          <w:szCs w:val="28"/>
        </w:rPr>
      </w:pPr>
      <w:r>
        <w:rPr>
          <w:rFonts w:hint="eastAsia" w:ascii="宋体" w:hAnsi="宋体" w:eastAsia="宋体" w:cs="宋体"/>
          <w:color w:val="0C0C0C" w:themeColor="text1" w:themeTint="F2"/>
        </w:rPr>
        <w:t>▲</w:t>
      </w:r>
      <w:r>
        <w:rPr>
          <w:rFonts w:hint="eastAsia" w:ascii="仿宋" w:hAnsi="仿宋" w:eastAsia="仿宋"/>
          <w:color w:val="0C0C0C" w:themeColor="text1" w:themeTint="F2"/>
          <w:sz w:val="28"/>
          <w:szCs w:val="28"/>
        </w:rPr>
        <w:t>吕龙根——北京第二外国语学院教授。毕业于北京大学西方语言文学系西班牙语专业，曾任北京第二外国语学院教务处副处长、科研处处长、北京外国语大学兼职教授。1989年参加国家旅游局导游考评制度创建和试点工作、高等旅游院校旅游专业教学大纲制订工作。先后担任国家旅游局第一届导游考评委员会委员、教材编审委员会委员、旅行社经理资格认证专家组成员、特级导游员评审委员会委员和副主任、首批“全国文明导游员”评审专家组组长。全国高级导游员考核认定浙江省试点工作专家组成员（2010年）。曾任国家旅游局第一届、第三届、第四届、第五届全国红色旅游导游员讲解员大赛评委或评审组长，北京市第二届、第三届、第四届导游员讲解员电视大赛普通话评委组组长。2013年教育部全国职业院校技能大赛导游服务赛项总裁判长及专家组成员。</w:t>
      </w: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六、课程简介</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1、《优秀导游的必备素质与自我提升》——熊剑平</w:t>
      </w:r>
    </w:p>
    <w:p>
      <w:pPr>
        <w:tabs>
          <w:tab w:val="left" w:pos="5940"/>
        </w:tabs>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导游成长的行业背景，优秀导游的角色定位与服务定位，成功导游的三维素质体系，成功导游的四类知识与五项修炼，为优秀导游成长打造独一无二的路径。</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2、</w:t>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以赛促学、以赛促教——导游技能教学模式探讨</w:t>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——石媚山</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文旅融合背景下的导游技能要求，导游技能教学模式探讨，以赛促学、以赛促教的落地实践，青岛酒店管理职业技术学院在十年大赛中取得四十个一等奖的经验分享。</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3、《文旅融合背景下导游、领队职业发展之路》——</w:t>
      </w:r>
      <w:r>
        <w:rPr>
          <w:rFonts w:ascii="仿宋" w:hAnsi="仿宋" w:eastAsia="仿宋"/>
          <w:color w:val="0C0C0C" w:themeColor="text1" w:themeTint="F2"/>
          <w:sz w:val="28"/>
          <w:szCs w:val="28"/>
        </w:rPr>
        <w:t>孙树伟</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导游和领队作为吃、住、行、游、购、娱旅游六大要素实施过程中的掌舵人，被称为是杂家。而在今天这个高度信息化的时代，导游不仅要“杂”，更要“专”，要成为杂家基础上的专家，才能满足当下游客的需求。深度挖掘文化精髓，融会贯通，努力提高讲解的深度和高度，勇于尝试和采用最新的传播手段和技巧是文旅融合时代导游和领队发展的方向。</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4、《如何提高导游讲解技能》——李志军</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结合实际，通过对导游讲解本质、特性、原则、內涵等的阐述理解，进一步掌握导游讲解的相关知识和技能，借以提高导游讲解的效果。</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5、</w:t>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新赛制下的院校导游赛制改革、选手培养与人才培养</w:t>
      </w:r>
      <w:r>
        <w:rPr>
          <w:rFonts w:ascii="仿宋" w:hAnsi="仿宋" w:eastAsia="仿宋"/>
          <w:color w:val="0C0C0C" w:themeColor="text1" w:themeTint="F2"/>
          <w:sz w:val="28"/>
          <w:szCs w:val="28"/>
        </w:rPr>
        <w:t>》</w:t>
      </w:r>
      <w:r>
        <w:rPr>
          <w:rFonts w:hint="eastAsia" w:ascii="仿宋" w:hAnsi="仿宋" w:eastAsia="仿宋"/>
          <w:color w:val="0C0C0C" w:themeColor="text1" w:themeTint="F2"/>
          <w:sz w:val="28"/>
          <w:szCs w:val="28"/>
        </w:rPr>
        <w:t>——邓德智</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大赛是提升院校影响力的重要途径，介绍在文旅融合背景下，导游赛制改革的走向，详细讲解如何进行选手的选拔，如何进行导游人才的培养，如何提升导游技能大赛的培养质量，尤其是结合历年大赛裁判组长经验，为技能大赛选手培养指点迷津。</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6、《旅游与文化——如何成为旅游文化专家型导游员》——吕龙根</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旅游文化与各领域文化的关系：导游工作所涉及的中国文化，不是中国文化的全部，而是旅游文化。旅游文化是面向旅游者的需求的，它是中国文化诸领域与旅游者兴趣点相重合的部分。特定文化领域研究的重要课题，不一定是旅游文化研究的重点；旅游文化研究的某些重点课题，有时却是特定文化研究领域所轻视、甚至忽视的问题。旅游文化的学习与培训必须有所为，有所不为。游客最大特点是：对看得见、摸得着的东西要问这是什么、什么涵义。</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7、《研学：重拾记忆，游走天下，学海无涯》——于延俊</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让文化自信成为力量；文化传承在记忆中开启；研学旅行的策划与实施；研学旅行的认知；美育是最高境界的教育。新时代新思想新作为，教育工作者的担当；提升审美休养，让研学游既好看又好玩；研学旅行永远在路上。</w:t>
      </w: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七、实践教学点介绍</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1、现场教学1：校企深度合作共育导游人才的“青啤模式”——朱丽男</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青岛啤酒博物馆是青岛啤酒股份有限公司投资2800万元建成的国内唯一的啤酒博物馆，其展出面积达6000余平方米。博物馆设立在青岛啤酒百年前的老厂房、老设备之内，以青岛啤酒的百年历程及工艺流程为主线，浓缩了中国啤酒工业及青岛啤酒的发展史，集文化历史、生产工艺流程、啤酒娱乐、购物、餐饮为一体，具备了旅游的知识性、娱乐性、参与性等特点，体现了世界视野、民族特色、穿透历史、融汇生活的文化理念。</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2</w:t>
      </w:r>
      <w:r>
        <w:rPr>
          <w:rFonts w:hint="eastAsia" w:ascii="仿宋" w:hAnsi="仿宋" w:eastAsia="仿宋"/>
          <w:color w:val="0C0C0C" w:themeColor="text1" w:themeTint="F2"/>
          <w:sz w:val="28"/>
          <w:szCs w:val="28"/>
        </w:rPr>
        <w:t>、现场教学2：《现场导游服务》课程设计与体验——以文旅和节庆旅游线路为例——田超</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青岛国际啤酒节始创于1991年，由国家有关部委和青岛市人民政府共同主办，是融旅游、文化、体育、经贸于一体的国家级节庆活动。青岛国际啤酒节是亚洲的啤酒盛会。如今，啤酒节已经成为彰显青岛城市个性优势与魅力的盛大节日，以啤酒为媒介，展现了青岛啤酒公司和城市。近几年</w:t>
      </w:r>
      <w:r>
        <w:rPr>
          <w:rFonts w:ascii="仿宋" w:hAnsi="仿宋" w:eastAsia="仿宋"/>
          <w:color w:val="0C0C0C" w:themeColor="text1" w:themeTint="F2"/>
          <w:sz w:val="28"/>
          <w:szCs w:val="28"/>
        </w:rPr>
        <w:t>的</w:t>
      </w:r>
      <w:r>
        <w:rPr>
          <w:rFonts w:hint="eastAsia" w:ascii="仿宋" w:hAnsi="仿宋" w:eastAsia="仿宋"/>
          <w:color w:val="0C0C0C" w:themeColor="text1" w:themeTint="F2"/>
          <w:sz w:val="28"/>
          <w:szCs w:val="28"/>
        </w:rPr>
        <w:t>青岛国际啤酒节在青岛西海岸新区金沙滩啤酒城举行。</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3、现场教学3：现代农业旅游导游人才的培养模式——杨栋</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青岛二月二生态观光农场有限公司位于风景秀丽、交通便利的崂山区王哥庄街道。农场占地约100多亩，二月二生态农场打造了崂山二月二大馒头、原味小麦粉、淡水养殖等农业特色产品；另大力开发了旅游、餐饮、观光、体验、科教、节会项目，形成二月二生态农场打造成为青岛市近郊休闲游、特色农副产品采购、中小学生科普教育、农家体验的理想之地。</w:t>
      </w:r>
    </w:p>
    <w:p>
      <w:pPr>
        <w:ind w:firstLine="560" w:firstLineChars="200"/>
        <w:jc w:val="left"/>
        <w:rPr>
          <w:rFonts w:ascii="仿宋" w:hAnsi="仿宋" w:eastAsia="仿宋"/>
          <w:color w:val="0C0C0C" w:themeColor="text1" w:themeTint="F2"/>
          <w:sz w:val="28"/>
          <w:szCs w:val="28"/>
        </w:rPr>
      </w:pPr>
      <w:r>
        <w:rPr>
          <w:rFonts w:ascii="仿宋" w:hAnsi="仿宋" w:eastAsia="仿宋"/>
          <w:color w:val="0C0C0C" w:themeColor="text1" w:themeTint="F2"/>
          <w:sz w:val="28"/>
          <w:szCs w:val="28"/>
        </w:rPr>
        <w:t>4</w:t>
      </w:r>
      <w:r>
        <w:rPr>
          <w:rFonts w:hint="eastAsia" w:ascii="仿宋" w:hAnsi="仿宋" w:eastAsia="仿宋"/>
          <w:color w:val="0C0C0C" w:themeColor="text1" w:themeTint="F2"/>
          <w:sz w:val="28"/>
          <w:szCs w:val="28"/>
        </w:rPr>
        <w:t>、现场教学4：滨海山岳旅游目的地导游人才支撑战略及实施——康传德</w:t>
      </w:r>
    </w:p>
    <w:p>
      <w:pPr>
        <w:ind w:firstLine="560" w:firstLineChars="200"/>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崂山，位于青岛市东部，古代又曾称牢山、劳山、鳌山等。它是山东半岛的主要山脉，崂山的最高峰名为巨峰，又称崂顶，海拔1132.7米，为崂山的主峰。崂山是中国海岸线第一高峰，有着海上“第一名山”之称。当地有一句古语说：“泰山虽云高，不如东海崂。”崂山，东高而悬崖傍海，西缓而丘陵起伏，山区面积446平方公里。山脉以崂顶为中心，向四方延伸，尤以西北、西南两个方向延伸较长，形成了巨峰、三标山、石门山和午山四条支脉，崂山的余脉沿东海岸向北至即墨市的东部，西抵胶州湾畔，西南方向的余脉则延伸到青岛市区，形成了市区的十余个山头和跌宕起伏的丘陵地形</w:t>
      </w:r>
    </w:p>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八、工作人员联系方式</w:t>
      </w:r>
    </w:p>
    <w:tbl>
      <w:tblPr>
        <w:tblStyle w:val="17"/>
        <w:tblW w:w="8726" w:type="dxa"/>
        <w:tblInd w:w="0" w:type="dxa"/>
        <w:tblLayout w:type="fixed"/>
        <w:tblCellMar>
          <w:top w:w="0" w:type="dxa"/>
          <w:left w:w="116" w:type="dxa"/>
          <w:bottom w:w="0" w:type="dxa"/>
          <w:right w:w="115" w:type="dxa"/>
        </w:tblCellMar>
      </w:tblPr>
      <w:tblGrid>
        <w:gridCol w:w="2410"/>
        <w:gridCol w:w="3442"/>
        <w:gridCol w:w="2874"/>
      </w:tblGrid>
      <w:tr>
        <w:tblPrEx>
          <w:tblLayout w:type="fixed"/>
          <w:tblCellMar>
            <w:top w:w="0" w:type="dxa"/>
            <w:left w:w="116" w:type="dxa"/>
            <w:bottom w:w="0" w:type="dxa"/>
            <w:right w:w="115" w:type="dxa"/>
          </w:tblCellMar>
        </w:tblPrEx>
        <w:trPr>
          <w:trHeight w:val="633" w:hRule="atLeast"/>
        </w:trPr>
        <w:tc>
          <w:tcPr>
            <w:tcW w:w="2410"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职务</w:t>
            </w:r>
          </w:p>
        </w:tc>
        <w:tc>
          <w:tcPr>
            <w:tcW w:w="3442"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姓名</w:t>
            </w:r>
          </w:p>
        </w:tc>
        <w:tc>
          <w:tcPr>
            <w:tcW w:w="2874"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手机</w:t>
            </w:r>
          </w:p>
        </w:tc>
      </w:tr>
      <w:tr>
        <w:tblPrEx>
          <w:tblLayout w:type="fixed"/>
          <w:tblCellMar>
            <w:top w:w="0" w:type="dxa"/>
            <w:left w:w="116" w:type="dxa"/>
            <w:bottom w:w="0" w:type="dxa"/>
            <w:right w:w="115" w:type="dxa"/>
          </w:tblCellMar>
        </w:tblPrEx>
        <w:trPr>
          <w:trHeight w:val="633" w:hRule="atLeast"/>
        </w:trPr>
        <w:tc>
          <w:tcPr>
            <w:tcW w:w="2410"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总联络人</w:t>
            </w:r>
          </w:p>
        </w:tc>
        <w:tc>
          <w:tcPr>
            <w:tcW w:w="3442"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曲洋</w:t>
            </w:r>
          </w:p>
        </w:tc>
        <w:tc>
          <w:tcPr>
            <w:tcW w:w="2874"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13969818901</w:t>
            </w:r>
          </w:p>
        </w:tc>
      </w:tr>
      <w:tr>
        <w:tblPrEx>
          <w:tblLayout w:type="fixed"/>
          <w:tblCellMar>
            <w:top w:w="0" w:type="dxa"/>
            <w:left w:w="116" w:type="dxa"/>
            <w:bottom w:w="0" w:type="dxa"/>
            <w:right w:w="115" w:type="dxa"/>
          </w:tblCellMar>
        </w:tblPrEx>
        <w:trPr>
          <w:trHeight w:val="632" w:hRule="atLeast"/>
        </w:trPr>
        <w:tc>
          <w:tcPr>
            <w:tcW w:w="2410"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辅导员</w:t>
            </w:r>
          </w:p>
        </w:tc>
        <w:tc>
          <w:tcPr>
            <w:tcW w:w="3442"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廖金城</w:t>
            </w:r>
          </w:p>
        </w:tc>
        <w:tc>
          <w:tcPr>
            <w:tcW w:w="2874"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15726423388</w:t>
            </w:r>
          </w:p>
        </w:tc>
      </w:tr>
      <w:tr>
        <w:tblPrEx>
          <w:tblLayout w:type="fixed"/>
          <w:tblCellMar>
            <w:top w:w="0" w:type="dxa"/>
            <w:left w:w="116" w:type="dxa"/>
            <w:bottom w:w="0" w:type="dxa"/>
            <w:right w:w="115" w:type="dxa"/>
          </w:tblCellMar>
        </w:tblPrEx>
        <w:trPr>
          <w:trHeight w:val="640" w:hRule="atLeast"/>
        </w:trPr>
        <w:tc>
          <w:tcPr>
            <w:tcW w:w="2410"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班主任</w:t>
            </w:r>
          </w:p>
        </w:tc>
        <w:tc>
          <w:tcPr>
            <w:tcW w:w="3442"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石媚山</w:t>
            </w:r>
          </w:p>
        </w:tc>
        <w:tc>
          <w:tcPr>
            <w:tcW w:w="2874"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18660281396</w:t>
            </w:r>
          </w:p>
        </w:tc>
      </w:tr>
      <w:tr>
        <w:tblPrEx>
          <w:tblLayout w:type="fixed"/>
          <w:tblCellMar>
            <w:top w:w="0" w:type="dxa"/>
            <w:left w:w="116" w:type="dxa"/>
            <w:bottom w:w="0" w:type="dxa"/>
            <w:right w:w="115" w:type="dxa"/>
          </w:tblCellMar>
        </w:tblPrEx>
        <w:trPr>
          <w:trHeight w:val="633" w:hRule="atLeast"/>
        </w:trPr>
        <w:tc>
          <w:tcPr>
            <w:tcW w:w="2410"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班助理</w:t>
            </w:r>
          </w:p>
        </w:tc>
        <w:tc>
          <w:tcPr>
            <w:tcW w:w="3442"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杨栋</w:t>
            </w:r>
          </w:p>
        </w:tc>
        <w:tc>
          <w:tcPr>
            <w:tcW w:w="2874" w:type="dxa"/>
            <w:tcBorders>
              <w:top w:val="single" w:color="000000" w:sz="2" w:space="0"/>
              <w:left w:val="single" w:color="000000" w:sz="2" w:space="0"/>
              <w:bottom w:val="single" w:color="000000" w:sz="2" w:space="0"/>
              <w:right w:val="single" w:color="000000" w:sz="2" w:space="0"/>
            </w:tcBorders>
            <w:vAlign w:val="center"/>
          </w:tcPr>
          <w:p>
            <w:pPr>
              <w:widowControl/>
              <w:spacing w:line="259" w:lineRule="auto"/>
              <w:jc w:val="left"/>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15866838012</w:t>
            </w:r>
          </w:p>
        </w:tc>
      </w:tr>
    </w:tbl>
    <w:p>
      <w:pPr>
        <w:rPr>
          <w:rFonts w:ascii="黑体" w:hAnsi="黑体" w:eastAsia="黑体"/>
          <w:color w:val="0C0C0C" w:themeColor="text1" w:themeTint="F2"/>
          <w:sz w:val="28"/>
          <w:szCs w:val="28"/>
        </w:rPr>
      </w:pPr>
      <w:r>
        <w:rPr>
          <w:rFonts w:ascii="黑体" w:hAnsi="黑体" w:eastAsia="黑体"/>
          <w:color w:val="0C0C0C" w:themeColor="text1" w:themeTint="F2"/>
          <w:sz w:val="28"/>
          <w:szCs w:val="28"/>
        </w:rPr>
        <w:t>九、交通方式</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培训地址：青岛融海世园酒店。地址：青岛市崂山区天水路10号（近松岭路）。</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1、火车方式：</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（1）抵达青岛火车站：乘青岛地铁2号线转11</w:t>
      </w:r>
      <w:r>
        <w:rPr>
          <w:rFonts w:ascii="仿宋" w:hAnsi="仿宋" w:eastAsia="仿宋"/>
          <w:color w:val="0C0C0C" w:themeColor="text1" w:themeTint="F2"/>
          <w:sz w:val="28"/>
          <w:szCs w:val="28"/>
        </w:rPr>
        <w:t>号线到</w:t>
      </w:r>
      <w:r>
        <w:rPr>
          <w:rFonts w:hint="eastAsia" w:ascii="仿宋" w:hAnsi="仿宋" w:eastAsia="仿宋"/>
          <w:color w:val="0C0C0C" w:themeColor="text1" w:themeTint="F2"/>
          <w:sz w:val="28"/>
          <w:szCs w:val="28"/>
        </w:rPr>
        <w:t>世博园</w:t>
      </w:r>
      <w:r>
        <w:rPr>
          <w:rFonts w:ascii="仿宋" w:hAnsi="仿宋" w:eastAsia="仿宋"/>
          <w:color w:val="0C0C0C" w:themeColor="text1" w:themeTint="F2"/>
          <w:sz w:val="28"/>
          <w:szCs w:val="28"/>
        </w:rPr>
        <w:t>站</w:t>
      </w:r>
      <w:r>
        <w:rPr>
          <w:rFonts w:hint="eastAsia" w:ascii="仿宋" w:hAnsi="仿宋" w:eastAsia="仿宋"/>
          <w:color w:val="0C0C0C" w:themeColor="text1" w:themeTint="F2"/>
          <w:sz w:val="28"/>
          <w:szCs w:val="28"/>
        </w:rPr>
        <w:t>；出租车约</w:t>
      </w:r>
      <w:r>
        <w:rPr>
          <w:rFonts w:ascii="仿宋" w:hAnsi="仿宋" w:eastAsia="仿宋"/>
          <w:color w:val="0C0C0C" w:themeColor="text1" w:themeTint="F2"/>
          <w:sz w:val="28"/>
          <w:szCs w:val="28"/>
        </w:rPr>
        <w:t>70</w:t>
      </w:r>
      <w:r>
        <w:rPr>
          <w:rFonts w:hint="eastAsia" w:ascii="仿宋" w:hAnsi="仿宋" w:eastAsia="仿宋"/>
          <w:color w:val="0C0C0C" w:themeColor="text1" w:themeTint="F2"/>
          <w:sz w:val="28"/>
          <w:szCs w:val="28"/>
        </w:rPr>
        <w:t>元。</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（2）抵达青岛火车北站：乘112路公交车到洪园西站即到；出租车约30元。</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2、飞机方式：</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抵达青岛流亭国际机场：出租车约</w:t>
      </w:r>
      <w:r>
        <w:rPr>
          <w:rFonts w:ascii="仿宋" w:hAnsi="仿宋" w:eastAsia="仿宋"/>
          <w:color w:val="0C0C0C" w:themeColor="text1" w:themeTint="F2"/>
          <w:sz w:val="28"/>
          <w:szCs w:val="28"/>
        </w:rPr>
        <w:t>65</w:t>
      </w:r>
      <w:r>
        <w:rPr>
          <w:rFonts w:hint="eastAsia" w:ascii="仿宋" w:hAnsi="仿宋" w:eastAsia="仿宋"/>
          <w:color w:val="0C0C0C" w:themeColor="text1" w:themeTint="F2"/>
          <w:sz w:val="28"/>
          <w:szCs w:val="28"/>
        </w:rPr>
        <w:t>元。</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3、汽车</w:t>
      </w:r>
      <w:r>
        <w:rPr>
          <w:rFonts w:ascii="仿宋" w:hAnsi="仿宋" w:eastAsia="仿宋"/>
          <w:color w:val="0C0C0C" w:themeColor="text1" w:themeTint="F2"/>
          <w:sz w:val="28"/>
          <w:szCs w:val="28"/>
        </w:rPr>
        <w:t>方式：</w:t>
      </w:r>
    </w:p>
    <w:p>
      <w:pPr>
        <w:ind w:firstLine="560" w:firstLineChars="200"/>
        <w:rPr>
          <w:rFonts w:ascii="仿宋" w:hAnsi="仿宋" w:eastAsia="仿宋"/>
          <w:color w:val="0C0C0C" w:themeColor="text1" w:themeTint="F2"/>
          <w:sz w:val="28"/>
          <w:szCs w:val="28"/>
        </w:rPr>
      </w:pPr>
      <w:r>
        <w:rPr>
          <w:rFonts w:hint="eastAsia" w:ascii="仿宋" w:hAnsi="仿宋" w:eastAsia="仿宋"/>
          <w:color w:val="0C0C0C" w:themeColor="text1" w:themeTint="F2"/>
          <w:sz w:val="28"/>
          <w:szCs w:val="28"/>
        </w:rPr>
        <w:t>抵达</w:t>
      </w:r>
      <w:r>
        <w:rPr>
          <w:rFonts w:ascii="仿宋" w:hAnsi="仿宋" w:eastAsia="仿宋"/>
          <w:color w:val="0C0C0C" w:themeColor="text1" w:themeTint="F2"/>
          <w:sz w:val="28"/>
          <w:szCs w:val="28"/>
        </w:rPr>
        <w:t>青岛</w:t>
      </w:r>
      <w:r>
        <w:rPr>
          <w:rFonts w:hint="eastAsia" w:ascii="仿宋" w:hAnsi="仿宋" w:eastAsia="仿宋"/>
          <w:color w:val="0C0C0C" w:themeColor="text1" w:themeTint="F2"/>
          <w:sz w:val="28"/>
          <w:szCs w:val="28"/>
        </w:rPr>
        <w:t>长途</w:t>
      </w:r>
      <w:r>
        <w:rPr>
          <w:rFonts w:ascii="仿宋" w:hAnsi="仿宋" w:eastAsia="仿宋"/>
          <w:color w:val="0C0C0C" w:themeColor="text1" w:themeTint="F2"/>
          <w:sz w:val="28"/>
          <w:szCs w:val="28"/>
        </w:rPr>
        <w:t>汽车站，</w:t>
      </w:r>
      <w:r>
        <w:rPr>
          <w:rFonts w:hint="eastAsia" w:ascii="仿宋" w:hAnsi="仿宋" w:eastAsia="仿宋"/>
          <w:color w:val="0C0C0C" w:themeColor="text1" w:themeTint="F2"/>
          <w:sz w:val="28"/>
          <w:szCs w:val="28"/>
        </w:rPr>
        <w:t>乘326路转128路公交车到融海世园酒店站即到。出租车约35元。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5543456"/>
    </w:sdtPr>
    <w:sdtContent>
      <w:p>
        <w:pPr>
          <w:pStyle w:val="4"/>
          <w:jc w:val="center"/>
        </w:pPr>
        <w:r>
          <w:fldChar w:fldCharType="begin"/>
        </w:r>
        <w:r>
          <w:instrText xml:space="preserve">PAGE   \* MERGEFORMAT</w:instrText>
        </w:r>
        <w:r>
          <w:fldChar w:fldCharType="separate"/>
        </w:r>
        <w:r>
          <w:rPr>
            <w:lang w:val="zh-CN"/>
          </w:rPr>
          <w:t>10</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0DF"/>
    <w:rsid w:val="000046A2"/>
    <w:rsid w:val="00007022"/>
    <w:rsid w:val="00084CB6"/>
    <w:rsid w:val="00092BC2"/>
    <w:rsid w:val="000B1A74"/>
    <w:rsid w:val="000B1F2A"/>
    <w:rsid w:val="000D051D"/>
    <w:rsid w:val="000D36CD"/>
    <w:rsid w:val="000D7159"/>
    <w:rsid w:val="00134E09"/>
    <w:rsid w:val="001377C0"/>
    <w:rsid w:val="001409D3"/>
    <w:rsid w:val="001549DD"/>
    <w:rsid w:val="001678EA"/>
    <w:rsid w:val="00167F44"/>
    <w:rsid w:val="001A5400"/>
    <w:rsid w:val="001B2A71"/>
    <w:rsid w:val="001C3DF4"/>
    <w:rsid w:val="001D2EDE"/>
    <w:rsid w:val="00207A15"/>
    <w:rsid w:val="00223457"/>
    <w:rsid w:val="0023012F"/>
    <w:rsid w:val="00237A0B"/>
    <w:rsid w:val="00252297"/>
    <w:rsid w:val="002604E0"/>
    <w:rsid w:val="002616CF"/>
    <w:rsid w:val="0028480C"/>
    <w:rsid w:val="002B220C"/>
    <w:rsid w:val="002C220A"/>
    <w:rsid w:val="002E2CE4"/>
    <w:rsid w:val="00311791"/>
    <w:rsid w:val="00321ED0"/>
    <w:rsid w:val="00322D13"/>
    <w:rsid w:val="00333D44"/>
    <w:rsid w:val="00337F79"/>
    <w:rsid w:val="003548AF"/>
    <w:rsid w:val="00360F34"/>
    <w:rsid w:val="00363284"/>
    <w:rsid w:val="00363F9D"/>
    <w:rsid w:val="00386CAF"/>
    <w:rsid w:val="00390EA9"/>
    <w:rsid w:val="003B664E"/>
    <w:rsid w:val="003D6BBB"/>
    <w:rsid w:val="00405E45"/>
    <w:rsid w:val="00406D90"/>
    <w:rsid w:val="00434FC5"/>
    <w:rsid w:val="004531DD"/>
    <w:rsid w:val="00462FF2"/>
    <w:rsid w:val="004720DF"/>
    <w:rsid w:val="00473B90"/>
    <w:rsid w:val="00473CE9"/>
    <w:rsid w:val="00476DD1"/>
    <w:rsid w:val="004776BE"/>
    <w:rsid w:val="004A251F"/>
    <w:rsid w:val="004C671A"/>
    <w:rsid w:val="004D7C7B"/>
    <w:rsid w:val="004E1A5B"/>
    <w:rsid w:val="004E2FC8"/>
    <w:rsid w:val="00542A5B"/>
    <w:rsid w:val="00547DC2"/>
    <w:rsid w:val="00565D39"/>
    <w:rsid w:val="00581128"/>
    <w:rsid w:val="005A2A30"/>
    <w:rsid w:val="005E0243"/>
    <w:rsid w:val="0060060F"/>
    <w:rsid w:val="00602026"/>
    <w:rsid w:val="00603E9E"/>
    <w:rsid w:val="00636EB6"/>
    <w:rsid w:val="00672081"/>
    <w:rsid w:val="006751C0"/>
    <w:rsid w:val="00683EC2"/>
    <w:rsid w:val="006A7601"/>
    <w:rsid w:val="006F1557"/>
    <w:rsid w:val="006F39B8"/>
    <w:rsid w:val="006F680F"/>
    <w:rsid w:val="0070089A"/>
    <w:rsid w:val="007079E1"/>
    <w:rsid w:val="007213B3"/>
    <w:rsid w:val="00726E55"/>
    <w:rsid w:val="00752E68"/>
    <w:rsid w:val="0079359C"/>
    <w:rsid w:val="007D4A51"/>
    <w:rsid w:val="007F5F85"/>
    <w:rsid w:val="008333AE"/>
    <w:rsid w:val="00861B80"/>
    <w:rsid w:val="008D3560"/>
    <w:rsid w:val="008E0A2B"/>
    <w:rsid w:val="008E6FBD"/>
    <w:rsid w:val="00927943"/>
    <w:rsid w:val="00933DCC"/>
    <w:rsid w:val="00934D60"/>
    <w:rsid w:val="009459A2"/>
    <w:rsid w:val="00960F7F"/>
    <w:rsid w:val="00974235"/>
    <w:rsid w:val="009746CC"/>
    <w:rsid w:val="009760F7"/>
    <w:rsid w:val="009B095B"/>
    <w:rsid w:val="009B1946"/>
    <w:rsid w:val="009B242E"/>
    <w:rsid w:val="009C1607"/>
    <w:rsid w:val="009D7560"/>
    <w:rsid w:val="009E7088"/>
    <w:rsid w:val="009F4097"/>
    <w:rsid w:val="00A029AC"/>
    <w:rsid w:val="00A1795D"/>
    <w:rsid w:val="00A36F8D"/>
    <w:rsid w:val="00A42E06"/>
    <w:rsid w:val="00A60A4C"/>
    <w:rsid w:val="00A74CCB"/>
    <w:rsid w:val="00A92871"/>
    <w:rsid w:val="00AB650C"/>
    <w:rsid w:val="00AD1D09"/>
    <w:rsid w:val="00AF671B"/>
    <w:rsid w:val="00B04F35"/>
    <w:rsid w:val="00B31F94"/>
    <w:rsid w:val="00B3609E"/>
    <w:rsid w:val="00B416C4"/>
    <w:rsid w:val="00B45719"/>
    <w:rsid w:val="00B619FA"/>
    <w:rsid w:val="00B87DEC"/>
    <w:rsid w:val="00BA1335"/>
    <w:rsid w:val="00BB7600"/>
    <w:rsid w:val="00BD5A62"/>
    <w:rsid w:val="00C27B3C"/>
    <w:rsid w:val="00C45D71"/>
    <w:rsid w:val="00C606E4"/>
    <w:rsid w:val="00C636FB"/>
    <w:rsid w:val="00C767B7"/>
    <w:rsid w:val="00CD4642"/>
    <w:rsid w:val="00CF154C"/>
    <w:rsid w:val="00D26781"/>
    <w:rsid w:val="00D51921"/>
    <w:rsid w:val="00D617F6"/>
    <w:rsid w:val="00D6762D"/>
    <w:rsid w:val="00D828A0"/>
    <w:rsid w:val="00D97418"/>
    <w:rsid w:val="00D97876"/>
    <w:rsid w:val="00DC1AEE"/>
    <w:rsid w:val="00DD53E7"/>
    <w:rsid w:val="00DE33E7"/>
    <w:rsid w:val="00DE6A91"/>
    <w:rsid w:val="00E208FF"/>
    <w:rsid w:val="00E24FE6"/>
    <w:rsid w:val="00E34B84"/>
    <w:rsid w:val="00E90061"/>
    <w:rsid w:val="00E93448"/>
    <w:rsid w:val="00E93A9C"/>
    <w:rsid w:val="00EB6E63"/>
    <w:rsid w:val="00ED325B"/>
    <w:rsid w:val="00F002F5"/>
    <w:rsid w:val="00F0785C"/>
    <w:rsid w:val="00F306A8"/>
    <w:rsid w:val="00FB641E"/>
    <w:rsid w:val="00FC02E3"/>
    <w:rsid w:val="07856298"/>
    <w:rsid w:val="09C27C03"/>
    <w:rsid w:val="0E066983"/>
    <w:rsid w:val="19B03C61"/>
    <w:rsid w:val="22671283"/>
    <w:rsid w:val="25174B9E"/>
    <w:rsid w:val="28CE0306"/>
    <w:rsid w:val="3B3E1BC8"/>
    <w:rsid w:val="47794A3F"/>
    <w:rsid w:val="4A7B53F8"/>
    <w:rsid w:val="4E162079"/>
    <w:rsid w:val="529B404E"/>
    <w:rsid w:val="73DB1B43"/>
    <w:rsid w:val="7AF11AEE"/>
    <w:rsid w:val="7D6E7794"/>
    <w:rsid w:val="7F7A01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8"/>
    <w:semiHidden/>
    <w:unhideWhenUsed/>
    <w:qFormat/>
    <w:uiPriority w:val="99"/>
    <w:pPr>
      <w:ind w:left="100" w:leftChars="2500"/>
    </w:pPr>
  </w:style>
  <w:style w:type="paragraph" w:styleId="3">
    <w:name w:val="Balloon Text"/>
    <w:basedOn w:val="1"/>
    <w:link w:val="19"/>
    <w:semiHidden/>
    <w:unhideWhenUsed/>
    <w:qFormat/>
    <w:uiPriority w:val="99"/>
    <w:rPr>
      <w:sz w:val="16"/>
      <w:szCs w:val="16"/>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fontstyle01"/>
    <w:basedOn w:val="6"/>
    <w:qFormat/>
    <w:uiPriority w:val="0"/>
    <w:rPr>
      <w:rFonts w:hint="default" w:ascii="仿宋" w:hAnsi="仿宋"/>
      <w:color w:val="000000"/>
      <w:sz w:val="28"/>
      <w:szCs w:val="28"/>
    </w:rPr>
  </w:style>
  <w:style w:type="character" w:customStyle="1" w:styleId="13">
    <w:name w:val="fontstyle21"/>
    <w:basedOn w:val="6"/>
    <w:qFormat/>
    <w:uiPriority w:val="0"/>
    <w:rPr>
      <w:rFonts w:hint="eastAsia" w:ascii="仿宋" w:hAnsi="仿宋" w:eastAsia="仿宋"/>
      <w:color w:val="000000"/>
      <w:sz w:val="24"/>
      <w:szCs w:val="24"/>
    </w:rPr>
  </w:style>
  <w:style w:type="character" w:customStyle="1" w:styleId="14">
    <w:name w:val="fontstyle31"/>
    <w:basedOn w:val="6"/>
    <w:qFormat/>
    <w:uiPriority w:val="0"/>
    <w:rPr>
      <w:rFonts w:hint="eastAsia" w:ascii="黑体" w:hAnsi="黑体" w:eastAsia="黑体"/>
      <w:color w:val="000000"/>
      <w:sz w:val="28"/>
      <w:szCs w:val="28"/>
    </w:rPr>
  </w:style>
  <w:style w:type="character" w:customStyle="1" w:styleId="15">
    <w:name w:val="fontstyle41"/>
    <w:basedOn w:val="6"/>
    <w:qFormat/>
    <w:uiPriority w:val="0"/>
    <w:rPr>
      <w:rFonts w:hint="default" w:ascii="Calibri" w:hAnsi="Calibri" w:cs="Calibri"/>
      <w:color w:val="000000"/>
      <w:sz w:val="18"/>
      <w:szCs w:val="18"/>
    </w:rPr>
  </w:style>
  <w:style w:type="table" w:customStyle="1" w:styleId="16">
    <w:name w:val="TableGrid"/>
    <w:qFormat/>
    <w:uiPriority w:val="0"/>
    <w:tblPr>
      <w:tblLayout w:type="fixed"/>
      <w:tblCellMar>
        <w:top w:w="0" w:type="dxa"/>
        <w:left w:w="0" w:type="dxa"/>
        <w:bottom w:w="0" w:type="dxa"/>
        <w:right w:w="0" w:type="dxa"/>
      </w:tblCellMar>
    </w:tblPr>
  </w:style>
  <w:style w:type="table" w:customStyle="1" w:styleId="17">
    <w:name w:val="TableGrid1"/>
    <w:qFormat/>
    <w:uiPriority w:val="0"/>
    <w:tblPr>
      <w:tblLayout w:type="fixed"/>
      <w:tblCellMar>
        <w:top w:w="0" w:type="dxa"/>
        <w:left w:w="0" w:type="dxa"/>
        <w:bottom w:w="0" w:type="dxa"/>
        <w:right w:w="0" w:type="dxa"/>
      </w:tblCellMar>
    </w:tblPr>
  </w:style>
  <w:style w:type="character" w:customStyle="1" w:styleId="18">
    <w:name w:val="日期 Char"/>
    <w:basedOn w:val="6"/>
    <w:link w:val="2"/>
    <w:semiHidden/>
    <w:qFormat/>
    <w:uiPriority w:val="99"/>
    <w:rPr>
      <w:kern w:val="2"/>
      <w:sz w:val="21"/>
      <w:szCs w:val="22"/>
    </w:rPr>
  </w:style>
  <w:style w:type="character" w:customStyle="1" w:styleId="19">
    <w:name w:val="批注框文本 Char"/>
    <w:basedOn w:val="6"/>
    <w:link w:val="3"/>
    <w:semiHidden/>
    <w:qFormat/>
    <w:uiPriority w:val="99"/>
    <w:rPr>
      <w:kern w:val="2"/>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069C2-1DCC-40EE-AADB-96218B5632A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1494</Words>
  <Characters>8520</Characters>
  <Lines>71</Lines>
  <Paragraphs>19</Paragraphs>
  <TotalTime>413</TotalTime>
  <ScaleCrop>false</ScaleCrop>
  <LinksUpToDate>false</LinksUpToDate>
  <CharactersWithSpaces>9995</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2019-03-27T00:40:00Z</dcterms:created>
  <dc:creator>tianhua0425@126.com</dc:creator>
  <cp:lastModifiedBy>蓅矢那浀扯淡浮傷1387109170</cp:lastModifiedBy>
  <cp:lastPrinted>2019-04-02T09:07:00Z</cp:lastPrinted>
  <dcterms:modified xsi:type="dcterms:W3CDTF">2019-05-07T06:15:01Z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